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12: IP Weighting and Marginal Structural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chapter introduces</w:t>
      </w:r>
      <w:r>
        <w:t xml:space="preserve"> </w:t>
      </w:r>
      <w:r>
        <w:rPr>
          <w:b/>
          <w:bCs/>
        </w:rPr>
        <w:t xml:space="preserve">inverse probability (IP) weighting</w:t>
      </w:r>
      <w:r>
        <w:t xml:space="preserve">, a method for estimating causal effects that creates a pseudo-population in which treatment is independent of measured confounders. IP weighting is used to fit</w:t>
      </w:r>
      <w:r>
        <w:t xml:space="preserve"> </w:t>
      </w:r>
      <w:r>
        <w:rPr>
          <w:b/>
          <w:bCs/>
        </w:rPr>
        <w:t xml:space="preserve">marginal structural models</w:t>
      </w:r>
      <w:r>
        <w:t xml:space="preserve">, which provide a natural framework for estimating marginal causal effects when treatment and confounding vary over time.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12, pp. 157-174)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concepts</w:t>
      </w:r>
      <w:r>
        <w:t xml:space="preserve">: IP weighting creates a pseudo-population where confounding is eliminated by construction. This approach is particularly powerful for time-varying treatments and confounders, which will be explored further in Part III.</w:t>
      </w:r>
    </w:p>
    <w:bookmarkStart w:id="22" w:name="the-causal-question-pp.-157-159"/>
    <w:p>
      <w:pPr>
        <w:pStyle w:val="Heading2"/>
      </w:pPr>
      <w:r>
        <w:t xml:space="preserve">1 12.1 The Causal Question (pp. 157-159)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return to the NHEFS study to estimate the average causal effect of quitting smoking on weight gain.</w:t>
      </w:r>
    </w:p>
    <w:bookmarkStart w:id="20" w:name="research-question"/>
    <w:p>
      <w:pPr>
        <w:pStyle w:val="Heading3"/>
      </w:pPr>
      <w:r>
        <w:t xml:space="preserve">1.1 Research Question</w:t>
      </w:r>
    </w:p>
    <w:p>
      <w:pPr>
        <w:pStyle w:val="FirstParagraph"/>
      </w:pPr>
      <w:r>
        <w:rPr>
          <w:b/>
          <w:bCs/>
        </w:rPr>
        <w:t xml:space="preserve">Population</w:t>
      </w:r>
      <w:r>
        <w:t xml:space="preserve">: 1,566 cigarette smokers from NHEFS who had a baseline visit and were seen again approximately 10 years later.</w:t>
      </w:r>
    </w:p>
    <w:p>
      <w:pPr>
        <w:pStyle w:val="BodyText"/>
      </w:pPr>
      <w:r>
        <w:rPr>
          <w:b/>
          <w:bCs/>
        </w:rPr>
        <w:t xml:space="preserve">Treatment</w:t>
      </w:r>
      <w:r>
        <w:t xml:space="preserve">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quit smoking between visits,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if continued smoking</w:t>
      </w:r>
    </w:p>
    <w:p>
      <w:pPr>
        <w:pStyle w:val="BodyText"/>
      </w:pPr>
      <w:r>
        <w:rPr>
          <w:b/>
          <w:bCs/>
        </w:rPr>
        <w:t xml:space="preserve">Outcome</w:t>
      </w:r>
      <w:r>
        <w:t xml:space="preserve">: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= weight change in kg between visits</w:t>
      </w:r>
    </w:p>
    <w:p>
      <w:pPr>
        <w:pStyle w:val="BodyText"/>
      </w:pPr>
      <w:r>
        <w:rPr>
          <w:b/>
          <w:bCs/>
        </w:rPr>
        <w:t xml:space="preserve">Causal estimand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The average treatment effect of smoking cessation on weight gain.</w:t>
      </w:r>
    </w:p>
    <w:bookmarkEnd w:id="20"/>
    <w:bookmarkStart w:id="21" w:name="measured-confounders"/>
    <w:p>
      <w:pPr>
        <w:pStyle w:val="Heading3"/>
      </w:pPr>
      <w:r>
        <w:t xml:space="preserve">1.2 Measured Confounders</w:t>
      </w:r>
    </w:p>
    <w:p>
      <w:pPr>
        <w:pStyle w:val="FirstParagraph"/>
      </w:pPr>
      <w:r>
        <w:t xml:space="preserve">We have measured baseline covariates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that may confound the relationship:</w:t>
      </w:r>
    </w:p>
    <w:p>
      <w:pPr>
        <w:pStyle w:val="Compact"/>
        <w:numPr>
          <w:ilvl w:val="0"/>
          <w:numId w:val="1001"/>
        </w:numPr>
      </w:pPr>
      <w:r>
        <w:t xml:space="preserve">Sex</w:t>
      </w:r>
    </w:p>
    <w:p>
      <w:pPr>
        <w:pStyle w:val="Compact"/>
        <w:numPr>
          <w:ilvl w:val="0"/>
          <w:numId w:val="1001"/>
        </w:numPr>
      </w:pPr>
      <w:r>
        <w:t xml:space="preserve">Age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Race</w:t>
      </w:r>
    </w:p>
    <w:p>
      <w:pPr>
        <w:pStyle w:val="Compact"/>
        <w:numPr>
          <w:ilvl w:val="0"/>
          <w:numId w:val="1001"/>
        </w:numPr>
      </w:pP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t xml:space="preserve">Intensity and duration of smoking</w:t>
      </w:r>
    </w:p>
    <w:p>
      <w:pPr>
        <w:pStyle w:val="Compact"/>
        <w:numPr>
          <w:ilvl w:val="0"/>
          <w:numId w:val="1001"/>
        </w:numPr>
      </w:pPr>
      <w:r>
        <w:t xml:space="preserve">Physical activity</w:t>
      </w:r>
    </w:p>
    <w:p>
      <w:pPr>
        <w:pStyle w:val="Compact"/>
        <w:numPr>
          <w:ilvl w:val="0"/>
          <w:numId w:val="1001"/>
        </w:numPr>
      </w:pPr>
      <w:r>
        <w:t xml:space="preserve">Weight and weight change in past year</w:t>
      </w:r>
    </w:p>
    <w:p>
      <w:pPr>
        <w:pStyle w:val="Compact"/>
        <w:numPr>
          <w:ilvl w:val="0"/>
          <w:numId w:val="1001"/>
        </w:numPr>
      </w:pPr>
      <w:r>
        <w:t xml:space="preserve">Other lifestyle and health factors</w:t>
      </w:r>
    </w:p>
    <w:p>
      <w:pPr>
        <w:pStyle w:val="FirstParagraph"/>
      </w:pPr>
      <w:r>
        <w:rPr>
          <w:b/>
          <w:bCs/>
        </w:rPr>
        <w:t xml:space="preserve">Assumption</w:t>
      </w:r>
      <w:r>
        <w:t xml:space="preserve">: Conditional exchangeability given</w:t>
      </w:r>
      <w:r>
        <w:t xml:space="preserve"> </w:t>
      </w:r>
      <m:oMath>
        <m:r>
          <m:t>L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Y</m:t>
              </m:r>
            </m:e>
            <m:sup>
              <m:r>
                <m:t>a</m:t>
              </m:r>
            </m:sup>
          </m:sSup>
          <m:r>
            <m:rPr>
              <m:sty m:val="p"/>
            </m:rPr>
            <m:t>⟂</m:t>
          </m:r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r>
            <m:t>A</m:t>
          </m:r>
          <m:r>
            <m:rPr>
              <m:sty m:val="p"/>
            </m:rPr>
            <m:t>∣</m:t>
          </m:r>
          <m:r>
            <m:t>L</m:t>
          </m:r>
        </m:oMath>
      </m:oMathPara>
    </w:p>
    <w:p>
      <w:pPr>
        <w:pStyle w:val="FirstParagraph"/>
      </w:pPr>
      <w:r>
        <w:rPr>
          <w:b/>
          <w:bCs/>
        </w:rPr>
        <w:t xml:space="preserve">Why we need adjustment</w:t>
      </w:r>
      <w:r>
        <w:t xml:space="preserve">: People who quit smoking differ systematically from those who continue. For example, those who quit may be more health-conscious, may have experienced health scares, or may differ in baseline weight. These factors could also affect weight gain independently of smoking cessation.</w:t>
      </w:r>
    </w:p>
    <w:p>
      <w:pPr>
        <w:pStyle w:val="BodyText"/>
      </w:pPr>
      <w:r>
        <w:t xml:space="preserve">The assumption of conditional exchangeability says that within levels of the measured covariates</w:t>
      </w:r>
      <w:r>
        <w:t xml:space="preserve"> </w:t>
      </w:r>
      <m:oMath>
        <m:r>
          <m:t>L</m:t>
        </m:r>
      </m:oMath>
      <w:r>
        <w:t xml:space="preserve">, treatment assignment is as good as random with respect to the potential outcomes.</w:t>
      </w:r>
    </w:p>
    <w:bookmarkEnd w:id="21"/>
    <w:bookmarkEnd w:id="22"/>
    <w:bookmarkStart w:id="27" w:name="estimating-ip-weights-pp.-159-163"/>
    <w:p>
      <w:pPr>
        <w:pStyle w:val="Heading2"/>
      </w:pPr>
      <w:r>
        <w:t xml:space="preserve">2 12.2 Estimating IP Weights (pp. 159-163)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core idea of IP weighting is to create a pseudo-population by weighting each individual by the inverse of their probability of receiving the treatment they actually received.</w:t>
      </w:r>
    </w:p>
    <w:bookmarkStart w:id="24" w:name="ip-weights-definition"/>
    <w:p>
      <w:pPr>
        <w:pStyle w:val="Heading3"/>
      </w:pPr>
      <w:r>
        <w:t xml:space="preserve">2.1 IP Weights Definition</w:t>
      </w:r>
    </w:p>
    <w:bookmarkStart w:id="23" w:name="def-ip-weights"/>
    <w:p>
      <w:pPr>
        <w:pStyle w:val="FirstParagraph"/>
      </w:pPr>
      <w:r>
        <w:rPr>
          <w:b/>
          <w:bCs/>
        </w:rPr>
        <w:t xml:space="preserve">Definition 1 (Inverse Probability Weights)</w:t>
      </w:r>
      <w:r>
        <w:t xml:space="preserve"> </w:t>
      </w:r>
      <w:r>
        <w:t xml:space="preserve">For individual</w:t>
      </w:r>
      <w:r>
        <w:t xml:space="preserve"> </w:t>
      </w:r>
      <m:oMath>
        <m:r>
          <m:t>i</m:t>
        </m:r>
      </m:oMath>
      <w:r>
        <w:t xml:space="preserve">, the</w:t>
      </w:r>
      <w:r>
        <w:t xml:space="preserve"> </w:t>
      </w:r>
      <w:r>
        <w:rPr>
          <w:b/>
          <w:bCs/>
        </w:rPr>
        <w:t xml:space="preserve">IP weight</w:t>
      </w:r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W</m:t>
              </m:r>
            </m:e>
            <m:sub>
              <m:r>
                <m:t>i</m:t>
              </m:r>
            </m:sub>
            <m:sup>
              <m:r>
                <m:t>A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L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e>
                <m:r>
                  <m:t>L</m:t>
                </m:r>
              </m:e>
              <m:sub>
                <m: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sSub>
              <m:e>
                <m:r>
                  <m:t>A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t>L</m:t>
            </m:r>
            <m:r>
              <m:rPr>
                <m:sty m:val="p"/>
              </m:rPr>
              <m:t>=</m:t>
            </m:r>
            <m:sSub>
              <m:e>
                <m:r>
                  <m:t>L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propensity score</w:t>
      </w:r>
      <w:r>
        <w:t xml:space="preserve"> </w:t>
      </w:r>
      <w:r>
        <w:t xml:space="preserve">- the probability of receiving the treatment actually received, given confounders.</w:t>
      </w:r>
    </w:p>
    <w:p>
      <w:pPr>
        <w:pStyle w:val="BodyText"/>
      </w:pPr>
      <w:r>
        <w:t xml:space="preserve">For a dichotomous treatment:</w:t>
      </w:r>
    </w:p>
    <w:p>
      <w:pPr>
        <w:pStyle w:val="Compact"/>
        <w:numPr>
          <w:ilvl w:val="0"/>
          <w:numId w:val="1002"/>
        </w:numPr>
      </w:pPr>
      <w:r>
        <w:t xml:space="preserve">If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:</w:t>
      </w:r>
      <w:r>
        <w:t xml:space="preserve"> </w:t>
      </w:r>
      <m:oMath>
        <m:sSubSup>
          <m:e>
            <m:r>
              <m:t>W</m:t>
            </m:r>
          </m:e>
          <m:sub>
            <m:r>
              <m:t>i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∣</m:t>
                </m:r>
                <m:sSub>
                  <m:e>
                    <m:r>
                      <m:t>L</m:t>
                    </m:r>
                  </m:e>
                  <m:sub>
                    <m:r>
                      <m:t>i</m:t>
                    </m:r>
                  </m:sub>
                </m:sSub>
              </m:e>
            </m:d>
          </m:den>
        </m:f>
      </m:oMath>
    </w:p>
    <w:p>
      <w:pPr>
        <w:pStyle w:val="Compact"/>
        <w:numPr>
          <w:ilvl w:val="0"/>
          <w:numId w:val="1002"/>
        </w:numPr>
      </w:pPr>
      <w:r>
        <w:t xml:space="preserve">If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:</w:t>
      </w:r>
      <w:r>
        <w:t xml:space="preserve"> </w:t>
      </w:r>
      <m:oMath>
        <m:sSubSup>
          <m:e>
            <m:r>
              <m:t>W</m:t>
            </m:r>
          </m:e>
          <m:sub>
            <m:r>
              <m:t>i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∣</m:t>
                </m:r>
                <m:sSub>
                  <m:e>
                    <m:r>
                      <m:t>L</m:t>
                    </m:r>
                  </m:e>
                  <m:sub>
                    <m:r>
                      <m:t>i</m:t>
                    </m:r>
                  </m:sub>
                </m:sSub>
              </m:e>
            </m: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∣</m:t>
                </m:r>
                <m:sSub>
                  <m:e>
                    <m:r>
                      <m:t>L</m:t>
                    </m:r>
                  </m:e>
                  <m:sub>
                    <m:r>
                      <m:t>i</m:t>
                    </m:r>
                  </m:sub>
                </m:sSub>
              </m:e>
            </m:d>
          </m:den>
        </m:f>
      </m:oMath>
    </w:p>
    <w:bookmarkEnd w:id="23"/>
    <w:bookmarkEnd w:id="24"/>
    <w:bookmarkStart w:id="25" w:name="estimating-propensity-scores"/>
    <w:p>
      <w:pPr>
        <w:pStyle w:val="Heading3"/>
      </w:pPr>
      <w:r>
        <w:t xml:space="preserve">2.2 Estimating Propensity Scores</w:t>
      </w:r>
    </w:p>
    <w:p>
      <w:pPr>
        <w:pStyle w:val="FirstParagraph"/>
      </w:pPr>
      <w:r>
        <w:rPr>
          <w:b/>
          <w:bCs/>
        </w:rPr>
        <w:t xml:space="preserve">Step 1</w:t>
      </w:r>
      <w:r>
        <w:t xml:space="preserve">: Fit a model for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∣</m:t>
            </m:r>
            <m:r>
              <m:t>L</m:t>
            </m:r>
          </m:e>
        </m:d>
      </m:oMath>
    </w:p>
    <w:p>
      <w:pPr>
        <w:pStyle w:val="BodyText"/>
      </w:pPr>
      <w:r>
        <w:t xml:space="preserve">For dichotomous treatment, use logistic regression: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logit</m:t>
          </m:r>
          <m:r>
            <m:rPr>
              <m:sty m:val="p"/>
            </m:rPr>
            <m:t>Pr</m:t>
          </m:r>
          <m:d>
            <m:dPr>
              <m:begChr m:val="["/>
              <m:sepChr m:val=""/>
              <m:endChr m:val="]"/>
              <m:grow/>
            </m:dPr>
            <m:e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∣</m:t>
              </m:r>
              <m:r>
                <m:t>L</m:t>
              </m:r>
            </m:e>
          </m:d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sSub>
            <m:e>
              <m:r>
                <m:t>L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L</m:t>
              </m:r>
            </m:e>
            <m:sub>
              <m:r>
                <m:t>p</m:t>
              </m:r>
            </m:sub>
          </m:sSub>
        </m:oMath>
      </m:oMathPara>
    </w:p>
    <w:p>
      <w:pPr>
        <w:pStyle w:val="FirstParagraph"/>
      </w:pPr>
      <w:r>
        <w:rPr>
          <w:b/>
          <w:bCs/>
        </w:rPr>
        <w:t xml:space="preserve">Step 2</w:t>
      </w:r>
      <w:r>
        <w:t xml:space="preserve">: Predict</w:t>
      </w:r>
      <w:r>
        <w:t xml:space="preserve"> </w:t>
      </w:r>
      <m:oMath>
        <m:acc>
          <m:accPr>
            <m:chr m:val="̂"/>
          </m:accPr>
          <m:e>
            <m:r>
              <m:t>f</m:t>
            </m:r>
          </m:e>
        </m:acc>
        <m:d>
          <m:dPr>
            <m:begChr m:val="("/>
            <m:sepChr m:val="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e>
                <m:r>
                  <m:t>L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 </w:t>
      </w:r>
      <w:r>
        <w:t xml:space="preserve">for each individual</w:t>
      </w:r>
    </w:p>
    <w:p>
      <w:pPr>
        <w:pStyle w:val="Compact"/>
        <w:numPr>
          <w:ilvl w:val="0"/>
          <w:numId w:val="1003"/>
        </w:numPr>
      </w:pPr>
      <w:r>
        <w:t xml:space="preserve">For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:</w:t>
      </w:r>
      <w:r>
        <w:t xml:space="preserve"> </w:t>
      </w:r>
      <m:oMath>
        <m:acc>
          <m:accPr>
            <m:chr m:val="̂"/>
          </m:accPr>
          <m:e>
            <m:r>
              <m:t>f</m:t>
            </m:r>
          </m:e>
        </m:acc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∣</m:t>
            </m:r>
            <m:sSub>
              <m:e>
                <m:r>
                  <m:t>L</m:t>
                </m:r>
              </m:e>
              <m:sub>
                <m:r>
                  <m:t>i</m:t>
                </m:r>
              </m:sub>
            </m:sSub>
          </m:e>
        </m:d>
        <m:r>
          <m:rPr>
            <m:sty m:val="p"/>
          </m:rPr>
          <m:t>=</m:t>
        </m:r>
        <m:acc>
          <m:accPr>
            <m:chr m:val="̂"/>
          </m:accPr>
          <m:e>
            <m:r>
              <m:rPr>
                <m:sty m:val="p"/>
              </m:rPr>
              <m:t>Pr</m:t>
            </m:r>
          </m:e>
        </m:acc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∣</m:t>
            </m:r>
            <m:sSub>
              <m:e>
                <m:r>
                  <m:t>L</m:t>
                </m:r>
              </m:e>
              <m:sub>
                <m:r>
                  <m:t>i</m:t>
                </m:r>
              </m:sub>
            </m:sSub>
          </m:e>
        </m:d>
      </m:oMath>
    </w:p>
    <w:p>
      <w:pPr>
        <w:pStyle w:val="Compact"/>
        <w:numPr>
          <w:ilvl w:val="0"/>
          <w:numId w:val="1003"/>
        </w:numPr>
      </w:pPr>
      <w:r>
        <w:t xml:space="preserve">For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:</w:t>
      </w:r>
      <w:r>
        <w:t xml:space="preserve"> </w:t>
      </w:r>
      <m:oMath>
        <m:acc>
          <m:accPr>
            <m:chr m:val="̂"/>
          </m:accPr>
          <m:e>
            <m:r>
              <m:t>f</m:t>
            </m:r>
          </m:e>
        </m:acc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∣</m:t>
            </m:r>
            <m:sSub>
              <m:e>
                <m:r>
                  <m:t>L</m:t>
                </m:r>
              </m:e>
              <m:sub>
                <m: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acc>
          <m:accPr>
            <m:chr m:val="̂"/>
          </m:accPr>
          <m:e>
            <m:r>
              <m:rPr>
                <m:sty m:val="p"/>
              </m:rPr>
              <m:t>Pr</m:t>
            </m:r>
          </m:e>
        </m:acc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∣</m:t>
            </m:r>
            <m:sSub>
              <m:e>
                <m:r>
                  <m:t>L</m:t>
                </m:r>
              </m:e>
              <m:sub>
                <m:r>
                  <m:t>i</m:t>
                </m:r>
              </m:sub>
            </m:sSub>
          </m:e>
        </m:d>
      </m:oMath>
    </w:p>
    <w:p>
      <w:pPr>
        <w:pStyle w:val="FirstParagraph"/>
      </w:pPr>
      <w:r>
        <w:rPr>
          <w:b/>
          <w:bCs/>
        </w:rPr>
        <w:t xml:space="preserve">Step 3</w:t>
      </w:r>
      <w:r>
        <w:t xml:space="preserve">: Calculate IP weights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acc>
                <m:accPr>
                  <m:chr m:val="̂"/>
                </m:accPr>
                <m:e>
                  <m:r>
                    <m:t>W</m:t>
                  </m:r>
                </m:e>
              </m:acc>
            </m:e>
            <m:sub>
              <m:r>
                <m:t>i</m:t>
              </m:r>
            </m:sub>
            <m:sup>
              <m:r>
                <m:t>A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acc>
                <m:accPr>
                  <m:chr m:val="̂"/>
                </m:accPr>
                <m:e>
                  <m:r>
                    <m:t>f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L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Why this works</w:t>
      </w:r>
      <w:r>
        <w:t xml:space="preserve">: In the pseudo-population created by IP weighting, each individual is weighted by how</w:t>
      </w:r>
      <w:r>
        <w:t xml:space="preserve"> </w:t>
      </w:r>
      <w:r>
        <w:t xml:space="preserve">“surprising”</w:t>
      </w:r>
      <w:r>
        <w:t xml:space="preserve"> </w:t>
      </w:r>
      <w:r>
        <w:t xml:space="preserve">their treatment assignment was given their covariates.</w:t>
      </w:r>
    </w:p>
    <w:p>
      <w:pPr>
        <w:pStyle w:val="Compact"/>
        <w:numPr>
          <w:ilvl w:val="0"/>
          <w:numId w:val="1004"/>
        </w:numPr>
      </w:pPr>
      <w:r>
        <w:t xml:space="preserve">Individuals with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L</m:t>
            </m:r>
          </m:e>
        </m:d>
      </m:oMath>
      <w:r>
        <w:t xml:space="preserve"> </w:t>
      </w:r>
      <w:r>
        <w:t xml:space="preserve">close to 1 receive small weights (their treatment was expected)</w:t>
      </w:r>
    </w:p>
    <w:p>
      <w:pPr>
        <w:pStyle w:val="Compact"/>
        <w:numPr>
          <w:ilvl w:val="0"/>
          <w:numId w:val="1004"/>
        </w:numPr>
      </w:pPr>
      <w:r>
        <w:t xml:space="preserve">Individuals with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L</m:t>
            </m:r>
          </m:e>
        </m:d>
      </m:oMath>
      <w:r>
        <w:t xml:space="preserve"> </w:t>
      </w:r>
      <w:r>
        <w:t xml:space="preserve">close to 0 receive large weights (their treatment was unexpected)</w:t>
      </w:r>
    </w:p>
    <w:p>
      <w:pPr>
        <w:pStyle w:val="FirstParagraph"/>
      </w:pPr>
      <w:r>
        <w:t xml:space="preserve">This reweighting creates a pseudo-population in which treatment is independent of</w:t>
      </w:r>
      <w:r>
        <w:t xml:space="preserve"> </w:t>
      </w:r>
      <m:oMath>
        <m:r>
          <m:t>L</m:t>
        </m:r>
      </m:oMath>
      <w:r>
        <w:t xml:space="preserve">.</w:t>
      </w:r>
    </w:p>
    <w:bookmarkEnd w:id="25"/>
    <w:bookmarkStart w:id="26" w:name="example-nhefs-data"/>
    <w:p>
      <w:pPr>
        <w:pStyle w:val="Heading3"/>
      </w:pPr>
      <w:r>
        <w:t xml:space="preserve">2.3 Example: NHEFS Data</w:t>
      </w:r>
    </w:p>
    <w:p>
      <w:pPr>
        <w:pStyle w:val="FirstParagraph"/>
      </w:pPr>
      <w:r>
        <w:t xml:space="preserve">In the NHEFS study:</w:t>
      </w:r>
    </w:p>
    <w:p>
      <w:pPr>
        <w:pStyle w:val="BodyText"/>
      </w:pPr>
      <w:r>
        <w:rPr>
          <w:b/>
          <w:bCs/>
        </w:rPr>
        <w:t xml:space="preserve">Propensity score model</w:t>
      </w:r>
      <w:r>
        <w:t xml:space="preserve">: Logistic regression including sex, age, race, education, smoking intensity, smoking duration, exercise, weight, etc.</w:t>
      </w:r>
    </w:p>
    <w:p>
      <w:pPr>
        <w:pStyle w:val="BodyText"/>
      </w:pPr>
      <w:r>
        <w:rPr>
          <w:b/>
          <w:bCs/>
        </w:rPr>
        <w:t xml:space="preserve">Typical weights</w:t>
      </w:r>
      <w:r>
        <w:t xml:space="preserve">:</w:t>
      </w:r>
      <w:r>
        <w:t xml:space="preserve"> </w:t>
      </w:r>
      <w:r>
        <w:t xml:space="preserve">- Median weight: approximately 1.0</w:t>
      </w:r>
      <w:r>
        <w:t xml:space="preserve"> </w:t>
      </w:r>
      <w:r>
        <w:t xml:space="preserve">- Range: 0.3 to 16.7</w:t>
      </w:r>
      <w:r>
        <w:t xml:space="preserve"> </w:t>
      </w:r>
      <w:r>
        <w:t xml:space="preserve">- Mean: approximately 1.0 (by construction in simple settings)</w:t>
      </w:r>
    </w:p>
    <w:p>
      <w:pPr>
        <w:pStyle w:val="BodyText"/>
      </w:pPr>
      <w:r>
        <w:t xml:space="preserve">Some individuals have very large weights, indicating their treatment was unusual given their covariates.</w:t>
      </w:r>
    </w:p>
    <w:bookmarkEnd w:id="26"/>
    <w:bookmarkEnd w:id="27"/>
    <w:bookmarkStart w:id="31" w:name="stabilized-ip-weights-pp.-163-165"/>
    <w:p>
      <w:pPr>
        <w:pStyle w:val="Heading2"/>
      </w:pPr>
      <w:r>
        <w:t xml:space="preserve">3 12.3 Stabilized IP Weights (pp. 163-165)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Standard IP weights can have extreme values, leading to unstable estimates.</w:t>
      </w:r>
      <w:r>
        <w:t xml:space="preserve"> </w:t>
      </w:r>
      <w:r>
        <w:rPr>
          <w:b/>
          <w:bCs/>
        </w:rPr>
        <w:t xml:space="preserve">Stabilized weights</w:t>
      </w:r>
      <w:r>
        <w:t xml:space="preserve"> </w:t>
      </w:r>
      <w:r>
        <w:t xml:space="preserve">reduce variability.</w:t>
      </w:r>
    </w:p>
    <w:bookmarkStart w:id="28" w:name="def-stabilized-weights"/>
    <w:p>
      <w:pPr>
        <w:pStyle w:val="BodyText"/>
      </w:pPr>
      <w:r>
        <w:rPr>
          <w:b/>
          <w:bCs/>
        </w:rPr>
        <w:t xml:space="preserve">Definition 2 (Stabilized IP Weights)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sSup>
            <m:e>
              <m:r>
                <m:t>W</m:t>
              </m:r>
            </m:e>
            <m:sup>
              <m:r>
                <m:t>A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num>
            <m:den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∣</m:t>
                  </m:r>
                  <m:r>
                    <m:t>L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is the marginal probability of treatment.</w:t>
      </w:r>
    </w:p>
    <w:p>
      <w:pPr>
        <w:pStyle w:val="BodyText"/>
      </w:pPr>
      <w:r>
        <w:t xml:space="preserve">For dichotomous</w:t>
      </w:r>
      <w:r>
        <w:t xml:space="preserve"> </w:t>
      </w:r>
      <m:oMath>
        <m:r>
          <m:t>A</m:t>
        </m:r>
      </m:oMath>
      <w:r>
        <w:t xml:space="preserve">:</w:t>
      </w:r>
    </w:p>
    <w:p>
      <w:pPr>
        <w:pStyle w:val="Compact"/>
        <w:numPr>
          <w:ilvl w:val="0"/>
          <w:numId w:val="1005"/>
        </w:numPr>
      </w:pPr>
      <w:r>
        <w:t xml:space="preserve">If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: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d>
          </m:num>
          <m:den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∣</m:t>
                </m:r>
                <m:r>
                  <m:t>L</m:t>
                </m:r>
              </m:e>
            </m:d>
          </m:den>
        </m:f>
      </m:oMath>
    </w:p>
    <w:p>
      <w:pPr>
        <w:pStyle w:val="Compact"/>
        <w:numPr>
          <w:ilvl w:val="0"/>
          <w:numId w:val="1005"/>
        </w:numPr>
      </w:pPr>
      <w:r>
        <w:t xml:space="preserve">If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: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e>
            </m:d>
          </m:num>
          <m:den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∣</m:t>
                </m:r>
                <m:r>
                  <m:t>L</m:t>
                </m:r>
              </m:e>
            </m: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d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∣</m:t>
                </m:r>
                <m:r>
                  <m:t>L</m:t>
                </m:r>
              </m:e>
            </m:d>
          </m:den>
        </m:f>
      </m:oMath>
    </w:p>
    <w:bookmarkEnd w:id="28"/>
    <w:bookmarkStart w:id="29" w:name="properties-of-stabilized-weights"/>
    <w:p>
      <w:pPr>
        <w:pStyle w:val="Heading3"/>
      </w:pPr>
      <w:r>
        <w:t xml:space="preserve">3.1 Properties of Stabilized Weights</w:t>
      </w:r>
    </w:p>
    <w:p>
      <w:pPr>
        <w:pStyle w:val="FirstParagraph"/>
      </w:pPr>
      <w:r>
        <w:rPr>
          <w:b/>
          <w:bCs/>
        </w:rPr>
        <w:t xml:space="preserve">Advantages</w:t>
      </w:r>
      <w:r>
        <w:t xml:space="preserve">:</w:t>
      </w:r>
      <w:r>
        <w:t xml:space="preserve"> </w:t>
      </w:r>
      <w:r>
        <w:t xml:space="preserve">1. Mean is exactly 1.0</w:t>
      </w:r>
      <w:r>
        <w:t xml:space="preserve"> </w:t>
      </w:r>
      <w:r>
        <w:t xml:space="preserve">2. Smaller range than unstandardized weights</w:t>
      </w:r>
      <w:r>
        <w:t xml:space="preserve"> </w:t>
      </w:r>
      <w:r>
        <w:t xml:space="preserve">3. More stable variance estimates</w:t>
      </w:r>
      <w:r>
        <w:t xml:space="preserve"> </w:t>
      </w:r>
      <w:r>
        <w:t xml:space="preserve">4. Still create pseudo-population with</w:t>
      </w:r>
      <w:r>
        <w:t xml:space="preserve"> </w:t>
      </w:r>
      <m:oMath>
        <m:r>
          <m:t>A</m:t>
        </m:r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L</m:t>
        </m:r>
      </m:oMath>
    </w:p>
    <w:p>
      <w:pPr>
        <w:pStyle w:val="BodyText"/>
      </w:pPr>
      <w:r>
        <w:rPr>
          <w:b/>
          <w:bCs/>
        </w:rPr>
        <w:t xml:space="preserve">Estimation</w:t>
      </w:r>
      <w:r>
        <w:t xml:space="preserve">:</w:t>
      </w:r>
      <w:r>
        <w:t xml:space="preserve"> </w:t>
      </w:r>
      <w:r>
        <w:t xml:space="preserve">- Numerator: Fit model for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</m:e>
        </m:d>
      </m:oMath>
      <w:r>
        <w:t xml:space="preserve"> </w:t>
      </w:r>
      <w:r>
        <w:t xml:space="preserve">(intercept-only logistic regression)</w:t>
      </w:r>
      <w:r>
        <w:t xml:space="preserve"> </w:t>
      </w:r>
      <w:r>
        <w:t xml:space="preserve">- Denominator: Same as unstabilized weights</w:t>
      </w:r>
    </w:p>
    <w:bookmarkEnd w:id="29"/>
    <w:bookmarkStart w:id="30" w:name="example-nhefs-data-1"/>
    <w:p>
      <w:pPr>
        <w:pStyle w:val="Heading3"/>
      </w:pPr>
      <w:r>
        <w:t xml:space="preserve">3.2 Example: NHEFS Data</w:t>
      </w:r>
    </w:p>
    <w:p>
      <w:pPr>
        <w:pStyle w:val="FirstParagraph"/>
      </w:pPr>
      <w:r>
        <w:rPr>
          <w:b/>
          <w:bCs/>
        </w:rPr>
        <w:t xml:space="preserve">Stabilized weights</w:t>
      </w:r>
      <w:r>
        <w:t xml:space="preserve">:</w:t>
      </w:r>
      <w:r>
        <w:t xml:space="preserve"> </w:t>
      </w:r>
      <w:r>
        <w:t xml:space="preserve">- Median: approximately 1.0</w:t>
      </w:r>
      <w:r>
        <w:t xml:space="preserve"> </w:t>
      </w:r>
      <w:r>
        <w:t xml:space="preserve">- Range: 0.3 to 13.3 (compared to 0.3 to 16.7 for unstabilized)</w:t>
      </w:r>
      <w:r>
        <w:t xml:space="preserve"> </w:t>
      </w:r>
      <w:r>
        <w:t xml:space="preserve">- Mean: exactly 1.0</w:t>
      </w:r>
    </w:p>
    <w:p>
      <w:pPr>
        <w:pStyle w:val="BodyText"/>
      </w:pPr>
      <w:r>
        <w:rPr>
          <w:b/>
          <w:bCs/>
        </w:rPr>
        <w:t xml:space="preserve">Intuition</w:t>
      </w:r>
      <w:r>
        <w:t xml:space="preserve">: Stabilized weights still create a pseudo-population where treatment is independent of confounders, but they</w:t>
      </w:r>
      <w:r>
        <w:t xml:space="preserve"> </w:t>
      </w:r>
      <w:r>
        <w:t xml:space="preserve">“shrink”</w:t>
      </w:r>
      <w:r>
        <w:t xml:space="preserve"> </w:t>
      </w:r>
      <w:r>
        <w:t xml:space="preserve">extreme weights toward 1.0. The numerator ensures that the marginal distribution of treatment is preserved, while the denominator still removes the association between treatment and confounders.</w:t>
      </w:r>
    </w:p>
    <w:bookmarkEnd w:id="30"/>
    <w:bookmarkEnd w:id="31"/>
    <w:bookmarkStart w:id="35" w:name="marginal-structural-models-pp.-165-169"/>
    <w:p>
      <w:pPr>
        <w:pStyle w:val="Heading2"/>
      </w:pPr>
      <w:r>
        <w:t xml:space="preserve">4 12.4 Marginal Structural Models (pp. 165-169)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IP weighting is used to fit</w:t>
      </w:r>
      <w:r>
        <w:t xml:space="preserve"> </w:t>
      </w:r>
      <w:r>
        <w:rPr>
          <w:b/>
          <w:bCs/>
        </w:rPr>
        <w:t xml:space="preserve">marginal structural models</w:t>
      </w:r>
      <w:r>
        <w:t xml:space="preserve"> </w:t>
      </w:r>
      <w:r>
        <w:t xml:space="preserve">- models for the marginal distribution of the potential outcomes.</w:t>
      </w:r>
    </w:p>
    <w:bookmarkStart w:id="32" w:name="def-msm"/>
    <w:p>
      <w:pPr>
        <w:pStyle w:val="BodyText"/>
      </w:pPr>
      <w:r>
        <w:rPr>
          <w:b/>
          <w:bCs/>
        </w:rPr>
        <w:t xml:space="preserve">Definition 3 (Marginal Structural Model)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marginal structural model (MSM)</w:t>
      </w:r>
      <w:r>
        <w:t xml:space="preserve"> </w:t>
      </w:r>
      <w:r>
        <w:t xml:space="preserve">is a model for the marginal mean of the potential outcome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as a function of treatment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(and possibly other variables):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t>a</m:t>
          </m:r>
        </m:oMath>
      </m:oMathPara>
    </w:p>
    <w:p>
      <w:pPr>
        <w:pStyle w:val="FirstParagraph"/>
      </w:pPr>
      <w:r>
        <w:t xml:space="preserve">For dichotomous</w:t>
      </w:r>
      <w:r>
        <w:t xml:space="preserve"> </w:t>
      </w:r>
      <m:oMath>
        <m:r>
          <m:t>A</m:t>
        </m:r>
      </m:oMath>
      <w:r>
        <w:t xml:space="preserve">, parameter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equals the average causal effect: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e>
          </m:d>
        </m:oMath>
      </m:oMathPara>
    </w:p>
    <w:bookmarkEnd w:id="32"/>
    <w:bookmarkStart w:id="33" w:name="fitting-marginal-structural-models"/>
    <w:p>
      <w:pPr>
        <w:pStyle w:val="Heading3"/>
      </w:pPr>
      <w:r>
        <w:t xml:space="preserve">4.1 Fitting Marginal Structural Models</w:t>
      </w:r>
    </w:p>
    <w:p>
      <w:pPr>
        <w:pStyle w:val="FirstParagraph"/>
      </w:pPr>
      <w:r>
        <w:rPr>
          <w:b/>
          <w:bCs/>
        </w:rPr>
        <w:t xml:space="preserve">Procedure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t xml:space="preserve">Estimate IP weights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S</m:t>
                </m:r>
                <m:r>
                  <m:t>W</m:t>
                </m:r>
              </m:e>
            </m:acc>
          </m:e>
          <m:sup>
            <m:r>
              <m:t>A</m:t>
            </m:r>
          </m:sup>
        </m:sSup>
      </m:oMath>
      <w:r>
        <w:t xml:space="preserve"> </w:t>
      </w:r>
      <w:r>
        <w:t xml:space="preserve">for all individuals</w:t>
      </w:r>
    </w:p>
    <w:p>
      <w:pPr>
        <w:pStyle w:val="Compact"/>
        <w:numPr>
          <w:ilvl w:val="0"/>
          <w:numId w:val="1006"/>
        </w:numPr>
      </w:pPr>
      <w:r>
        <w:t xml:space="preserve">Fit a weighted regression model:</w:t>
      </w:r>
    </w:p>
    <w:p>
      <w:pPr>
        <w:pStyle w:val="Compact"/>
        <w:numPr>
          <w:ilvl w:val="1"/>
          <w:numId w:val="1007"/>
        </w:numPr>
      </w:pPr>
      <w:r>
        <w:t xml:space="preserve">Outcome: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1"/>
          <w:numId w:val="1007"/>
        </w:numPr>
      </w:pPr>
      <w:r>
        <w:t xml:space="preserve">Predictor:</w:t>
      </w:r>
      <w:r>
        <w:t xml:space="preserve"> </w:t>
      </w:r>
      <m:oMath>
        <m:r>
          <m:t>A</m:t>
        </m:r>
      </m:oMath>
    </w:p>
    <w:p>
      <w:pPr>
        <w:pStyle w:val="Compact"/>
        <w:numPr>
          <w:ilvl w:val="1"/>
          <w:numId w:val="1007"/>
        </w:numPr>
      </w:pPr>
      <w:r>
        <w:t xml:space="preserve">Weights: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S</m:t>
                </m:r>
                <m:r>
                  <m:t>W</m:t>
                </m:r>
              </m:e>
            </m:acc>
          </m:e>
          <m:sup>
            <m:r>
              <m:t>A</m:t>
            </m:r>
          </m:sup>
        </m:sSup>
      </m:oMath>
    </w:p>
    <w:p>
      <w:pPr>
        <w:pStyle w:val="Compact"/>
        <w:numPr>
          <w:ilvl w:val="0"/>
          <w:numId w:val="1006"/>
        </w:numPr>
      </w:pPr>
      <w:r>
        <w:t xml:space="preserve">The coefficient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estimates the marginal causal effect</w:t>
      </w:r>
    </w:p>
    <w:p>
      <w:pPr>
        <w:pStyle w:val="FirstParagraph"/>
      </w:pPr>
      <w:r>
        <w:rPr>
          <w:b/>
          <w:bCs/>
        </w:rPr>
        <w:t xml:space="preserve">Important</w:t>
      </w:r>
      <w:r>
        <w:t xml:space="preserve">: The model is fit using the observed data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, but weighted by IP weights. This approximates what we would see if we fit an unweighted model in the pseudo-population.</w:t>
      </w:r>
    </w:p>
    <w:bookmarkEnd w:id="33"/>
    <w:bookmarkStart w:id="34" w:name="example-nhefs-study"/>
    <w:p>
      <w:pPr>
        <w:pStyle w:val="Heading3"/>
      </w:pPr>
      <w:r>
        <w:t xml:space="preserve">4.2 Example: NHEFS Study</w:t>
      </w:r>
    </w:p>
    <w:p>
      <w:pPr>
        <w:pStyle w:val="FirstParagraph"/>
      </w:pPr>
      <w:r>
        <w:rPr>
          <w:b/>
          <w:bCs/>
        </w:rPr>
        <w:t xml:space="preserve">MSM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t>a</m:t>
          </m:r>
        </m:oMath>
      </m:oMathPara>
    </w:p>
    <w:p>
      <w:pPr>
        <w:pStyle w:val="FirstParagraph"/>
      </w:pPr>
      <w:r>
        <w:rPr>
          <w:b/>
          <w:bCs/>
        </w:rPr>
        <w:t xml:space="preserve">Weighted linear regression</w:t>
      </w:r>
      <w:r>
        <w:t xml:space="preserve">:</w:t>
      </w:r>
    </w:p>
    <w:p>
      <w:pPr>
        <w:pStyle w:val="SourceCode"/>
      </w:pPr>
      <w:r>
        <w:rPr>
          <w:rStyle w:val="CommentTok"/>
        </w:rPr>
        <w:t xml:space="preserve"># Pseudo-code</w:t>
      </w:r>
      <w:r>
        <w:br/>
      </w:r>
      <w:r>
        <w:rPr>
          <w:rStyle w:val="NormalTok"/>
        </w:rPr>
        <w:t xml:space="preserve">fit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(weight_change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quit_smoking,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stabilized_weights,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nhefs)</w:t>
      </w:r>
    </w:p>
    <w:p>
      <w:pPr>
        <w:pStyle w:val="FirstParagraph"/>
      </w:pPr>
      <w:r>
        <w:rPr>
          <w:b/>
          <w:bCs/>
        </w:rPr>
        <w:t xml:space="preserve">Results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≈</m:t>
        </m:r>
        <m:r>
          <m:t>3.4</m:t>
        </m:r>
      </m:oMath>
      <w:r>
        <w:t xml:space="preserve"> </w:t>
      </w:r>
      <w:r>
        <w:t xml:space="preserve">kg (95% CI: 2.4, 4.5)</w:t>
      </w:r>
      <w:r>
        <w:t xml:space="preserve"> </w:t>
      </w:r>
      <w:r>
        <w:t xml:space="preserve">- Interpretation: Quitting smoking causes an average weight gain of 3.4 kg</w:t>
      </w:r>
    </w:p>
    <w:p>
      <w:pPr>
        <w:pStyle w:val="BodyText"/>
      </w:pPr>
      <w:r>
        <w:rPr>
          <w:b/>
          <w:bCs/>
        </w:rPr>
        <w:t xml:space="preserve">Comparison to stratification</w:t>
      </w:r>
      <w:r>
        <w:t xml:space="preserve">:</w:t>
      </w:r>
    </w:p>
    <w:p>
      <w:pPr>
        <w:pStyle w:val="Compact"/>
        <w:numPr>
          <w:ilvl w:val="0"/>
          <w:numId w:val="1008"/>
        </w:numPr>
      </w:pPr>
      <w:r>
        <w:t xml:space="preserve">IP weighting estimates the marginal effect: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</m:e>
        </m:d>
        <m:r>
          <m:rPr>
            <m:sty m:val="p"/>
          </m:rPr>
          <m:t>−</m:t>
        </m:r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e>
        </m:d>
      </m:oMath>
    </w:p>
    <w:p>
      <w:pPr>
        <w:pStyle w:val="Compact"/>
        <w:numPr>
          <w:ilvl w:val="0"/>
          <w:numId w:val="1008"/>
        </w:numPr>
      </w:pPr>
      <w:r>
        <w:t xml:space="preserve">Stratification + standardization can estimate the same quantity</w:t>
      </w:r>
    </w:p>
    <w:p>
      <w:pPr>
        <w:pStyle w:val="Compact"/>
        <w:numPr>
          <w:ilvl w:val="0"/>
          <w:numId w:val="1008"/>
        </w:numPr>
      </w:pPr>
      <w:r>
        <w:t xml:space="preserve">IP weighting and standardization are mathematically equivalent under certain conditions</w:t>
      </w:r>
    </w:p>
    <w:p>
      <w:pPr>
        <w:pStyle w:val="Compact"/>
        <w:numPr>
          <w:ilvl w:val="0"/>
          <w:numId w:val="1008"/>
        </w:numPr>
      </w:pPr>
      <w:r>
        <w:t xml:space="preserve">IP weighting is often more convenient, especially for continuous confounders or time-varying treatments</w:t>
      </w:r>
    </w:p>
    <w:bookmarkEnd w:id="34"/>
    <w:bookmarkEnd w:id="35"/>
    <w:bookmarkStart w:id="40" w:name="X0dfbfa4800930338698d3d14c6c837033ad74ca"/>
    <w:p>
      <w:pPr>
        <w:pStyle w:val="Heading2"/>
      </w:pPr>
      <w:r>
        <w:t xml:space="preserve">5 12.5 Effect Modification and Marginal Structural Models (pp. 169-171)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MSMs can model effect modification by including interactions with baseline covariates.</w:t>
      </w:r>
    </w:p>
    <w:bookmarkStart w:id="37" w:name="msm-with-effect-modification"/>
    <w:p>
      <w:pPr>
        <w:pStyle w:val="Heading3"/>
      </w:pPr>
      <w:r>
        <w:t xml:space="preserve">5.1 MSM with Effect Modification</w:t>
      </w:r>
    </w:p>
    <w:bookmarkStart w:id="36" w:name="def-msm-effect-modification"/>
    <w:p>
      <w:pPr>
        <w:pStyle w:val="FirstParagraph"/>
      </w:pPr>
      <w:r>
        <w:rPr>
          <w:b/>
          <w:bCs/>
        </w:rPr>
        <w:t xml:space="preserve">Definition 4 (MSM with Effect Modifier)</w:t>
      </w:r>
      <w:r>
        <w:t xml:space="preserve"> </w:t>
      </w:r>
      <w:r>
        <w:t xml:space="preserve">To assess effect modification by variable</w:t>
      </w:r>
      <w:r>
        <w:t xml:space="preserve"> </w:t>
      </w:r>
      <m:oMath>
        <m:r>
          <m:t>V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</m:sup>
              </m:sSup>
              <m:r>
                <m:rPr>
                  <m:sty m:val="p"/>
                </m:rPr>
                <m:t>∣</m:t>
              </m:r>
              <m:r>
                <m:t>V</m:t>
              </m:r>
            </m:e>
          </m:d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t>V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r>
            <m:t>a</m:t>
          </m:r>
          <m:r>
            <m:rPr>
              <m:sty m:val="p"/>
            </m:rPr>
            <m:t>×</m:t>
          </m:r>
          <m:r>
            <m:t>V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β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quantifies effect modification:</w:t>
      </w:r>
    </w:p>
    <w:p>
      <w:pPr>
        <w:pStyle w:val="Compact"/>
        <w:numPr>
          <w:ilvl w:val="0"/>
          <w:numId w:val="1009"/>
        </w:numPr>
      </w:pPr>
      <w:r>
        <w:t xml:space="preserve">If</w:t>
      </w:r>
      <w:r>
        <w:t xml:space="preserve"> </w:t>
      </w:r>
      <m:oMath>
        <m:sSub>
          <m:e>
            <m:r>
              <m:t>β</m:t>
            </m:r>
          </m:e>
          <m:sub>
            <m:r>
              <m:t>3</m:t>
            </m:r>
          </m:sub>
        </m:sSub>
        <m:r>
          <m:rPr>
            <m:sty m:val="p"/>
          </m:rPr>
          <m:t>≠</m:t>
        </m:r>
        <m:r>
          <m:t>0</m:t>
        </m:r>
      </m:oMath>
      <w:r>
        <w:t xml:space="preserve">, the causal effect differs across levels of</w:t>
      </w:r>
      <w:r>
        <w:t xml:space="preserve"> </w:t>
      </w:r>
      <m:oMath>
        <m:r>
          <m:t>V</m:t>
        </m:r>
      </m:oMath>
    </w:p>
    <w:p>
      <w:pPr>
        <w:pStyle w:val="Compact"/>
        <w:numPr>
          <w:ilvl w:val="0"/>
          <w:numId w:val="1009"/>
        </w:numPr>
      </w:pPr>
      <w:r>
        <w:t xml:space="preserve">The causal effect at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v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v</m:t>
        </m:r>
      </m:oMath>
    </w:p>
    <w:bookmarkEnd w:id="36"/>
    <w:bookmarkEnd w:id="37"/>
    <w:bookmarkStart w:id="38" w:name="fitting-msms-with-effect-modification"/>
    <w:p>
      <w:pPr>
        <w:pStyle w:val="Heading3"/>
      </w:pPr>
      <w:r>
        <w:t xml:space="preserve">5.2 Fitting MSMs with Effect Modification</w:t>
      </w:r>
    </w:p>
    <w:p>
      <w:pPr>
        <w:pStyle w:val="FirstParagraph"/>
      </w:pPr>
      <w:r>
        <w:rPr>
          <w:b/>
          <w:bCs/>
        </w:rPr>
        <w:t xml:space="preserve">Procedure</w:t>
      </w:r>
      <w:r>
        <w:t xml:space="preserve">:</w:t>
      </w:r>
    </w:p>
    <w:p>
      <w:pPr>
        <w:pStyle w:val="Compact"/>
        <w:numPr>
          <w:ilvl w:val="0"/>
          <w:numId w:val="1010"/>
        </w:numPr>
      </w:pPr>
      <w:r>
        <w:t xml:space="preserve">Estimate IP weights as before (adjustment set includes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 other confounders)</w:t>
      </w:r>
    </w:p>
    <w:p>
      <w:pPr>
        <w:pStyle w:val="Compact"/>
        <w:numPr>
          <w:ilvl w:val="0"/>
          <w:numId w:val="1010"/>
        </w:numPr>
      </w:pPr>
      <w:r>
        <w:t xml:space="preserve">Fit weighted regression including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V</m:t>
        </m:r>
      </m:oMath>
      <w:r>
        <w:t xml:space="preserve">, and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V</m:t>
        </m:r>
      </m:oMath>
    </w:p>
    <w:p>
      <w:pPr>
        <w:pStyle w:val="Compact"/>
        <w:numPr>
          <w:ilvl w:val="0"/>
          <w:numId w:val="1010"/>
        </w:numPr>
      </w:pPr>
      <w:r>
        <w:t xml:space="preserve">Interpret</w:t>
      </w:r>
      <w:r>
        <w:t xml:space="preserve"> </w:t>
      </w:r>
      <m:oMath>
        <m:sSub>
          <m:e>
            <m:r>
              <m:t>β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as the change in causal effect per unit increase in</w:t>
      </w:r>
      <w:r>
        <w:t xml:space="preserve"> </w:t>
      </w:r>
      <m:oMath>
        <m:r>
          <m:t>V</m:t>
        </m:r>
      </m:oMath>
    </w:p>
    <w:bookmarkEnd w:id="38"/>
    <w:bookmarkStart w:id="39" w:name="example-effect-modification-by-sex"/>
    <w:p>
      <w:pPr>
        <w:pStyle w:val="Heading3"/>
      </w:pPr>
      <w:r>
        <w:t xml:space="preserve">5.3 Example: Effect Modification by Sex</w:t>
      </w:r>
    </w:p>
    <w:p>
      <w:pPr>
        <w:pStyle w:val="FirstParagraph"/>
      </w:pPr>
      <w:r>
        <w:rPr>
          <w:b/>
          <w:bCs/>
        </w:rPr>
        <w:t xml:space="preserve">MSM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nor/>
                  <m:sty m:val="p"/>
                </m:rPr>
                <m:t>Sex</m:t>
              </m:r>
            </m:e>
          </m:d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rPr>
              <m:nor/>
              <m:sty m:val="p"/>
            </m:rPr>
            <m:t>Sex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r>
            <m:t>a</m:t>
          </m:r>
          <m:r>
            <m:rPr>
              <m:sty m:val="p"/>
            </m:rPr>
            <m:t>×</m:t>
          </m:r>
          <m:r>
            <m:rPr>
              <m:nor/>
              <m:sty m:val="p"/>
            </m:rPr>
            <m:t>Sex</m:t>
          </m:r>
        </m:oMath>
      </m:oMathPara>
    </w:p>
    <w:p>
      <w:pPr>
        <w:pStyle w:val="FirstParagraph"/>
      </w:pPr>
      <w:r>
        <w:rPr>
          <w:b/>
          <w:bCs/>
        </w:rPr>
        <w:t xml:space="preserve">Results</w:t>
      </w:r>
      <w:r>
        <w:t xml:space="preserve"> </w:t>
      </w:r>
      <w:r>
        <w:t xml:space="preserve">(hypothetical):</w:t>
      </w:r>
      <w:r>
        <w:t xml:space="preserve"> </w:t>
      </w:r>
      <w:r>
        <w:t xml:space="preserve">-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2.5</m:t>
        </m:r>
      </m:oMath>
      <w:r>
        <w:t xml:space="preserve"> </w:t>
      </w:r>
      <w:r>
        <w:t xml:space="preserve">kg (effect in men)</w:t>
      </w:r>
      <w:r>
        <w:t xml:space="preserve"> </w:t>
      </w:r>
      <w:r>
        <w:t xml:space="preserve">-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1.8</m:t>
        </m:r>
      </m:oMath>
      <w:r>
        <w:t xml:space="preserve"> </w:t>
      </w:r>
      <w:r>
        <w:t xml:space="preserve">kg (additional effect in women)</w:t>
      </w:r>
      <w:r>
        <w:t xml:space="preserve"> </w:t>
      </w:r>
      <w:r>
        <w:t xml:space="preserve">- Effect in women:</w:t>
      </w:r>
      <w:r>
        <w:t xml:space="preserve"> </w:t>
      </w:r>
      <m:oMath>
        <m:r>
          <m:t>2.5</m:t>
        </m:r>
        <m:r>
          <m:rPr>
            <m:sty m:val="p"/>
          </m:rPr>
          <m:t>+</m:t>
        </m:r>
        <m:r>
          <m:t>1.8</m:t>
        </m:r>
        <m:r>
          <m:rPr>
            <m:sty m:val="p"/>
          </m:rPr>
          <m:t>=</m:t>
        </m:r>
        <m:r>
          <m:t>4.3</m:t>
        </m:r>
      </m:oMath>
      <w:r>
        <w:t xml:space="preserve"> </w:t>
      </w:r>
      <w:r>
        <w:t xml:space="preserve">kg</w:t>
      </w:r>
    </w:p>
    <w:p>
      <w:pPr>
        <w:pStyle w:val="BodyText"/>
      </w:pPr>
      <w:r>
        <w:rPr>
          <w:b/>
          <w:bCs/>
        </w:rPr>
        <w:t xml:space="preserve">Important distinction</w:t>
      </w:r>
      <w:r>
        <w:t xml:space="preserve">:</w:t>
      </w:r>
    </w:p>
    <w:p>
      <w:pPr>
        <w:pStyle w:val="Compact"/>
        <w:numPr>
          <w:ilvl w:val="0"/>
          <w:numId w:val="1011"/>
        </w:numPr>
      </w:pPr>
      <w:r>
        <w:t xml:space="preserve">The MSM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</m:sup>
            </m:sSup>
            <m:r>
              <m:rPr>
                <m:sty m:val="p"/>
              </m:rPr>
              <m:t>∣</m:t>
            </m:r>
            <m:r>
              <m:t>V</m:t>
            </m:r>
          </m:e>
        </m:d>
      </m:oMath>
      <w:r>
        <w:t xml:space="preserve"> </w:t>
      </w:r>
      <w:r>
        <w:t xml:space="preserve">models the mean of the potential outcome within levels of</w:t>
      </w:r>
      <w:r>
        <w:t xml:space="preserve"> </w:t>
      </w:r>
      <m:oMath>
        <m:r>
          <m:t>V</m:t>
        </m:r>
      </m:oMath>
    </w:p>
    <w:p>
      <w:pPr>
        <w:pStyle w:val="Compact"/>
        <w:numPr>
          <w:ilvl w:val="0"/>
          <w:numId w:val="1011"/>
        </w:numPr>
      </w:pPr>
      <w:r>
        <w:t xml:space="preserve">This is a</w:t>
      </w:r>
      <w:r>
        <w:t xml:space="preserve"> </w:t>
      </w:r>
      <w:r>
        <w:rPr>
          <w:b/>
          <w:bCs/>
        </w:rPr>
        <w:t xml:space="preserve">conditional causal effect</w:t>
      </w:r>
      <w:r>
        <w:t xml:space="preserve"> </w:t>
      </w:r>
      <w:r>
        <w:t xml:space="preserve">(conditional on</w:t>
      </w:r>
      <w:r>
        <w:t xml:space="preserve"> </w:t>
      </w:r>
      <m:oMath>
        <m:r>
          <m:t>V</m:t>
        </m:r>
      </m:oMath>
      <w:r>
        <w:t xml:space="preserve">)</w:t>
      </w:r>
    </w:p>
    <w:p>
      <w:pPr>
        <w:pStyle w:val="Compact"/>
        <w:numPr>
          <w:ilvl w:val="0"/>
          <w:numId w:val="1011"/>
        </w:numPr>
      </w:pPr>
      <m:oMath>
        <m:r>
          <m:t>V</m:t>
        </m:r>
      </m:oMath>
      <w:r>
        <w:t xml:space="preserve"> </w:t>
      </w:r>
      <w:r>
        <w:t xml:space="preserve">appears in the model, but we still adjust for confounders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through IP weighting</w:t>
      </w:r>
    </w:p>
    <w:p>
      <w:pPr>
        <w:pStyle w:val="Compact"/>
        <w:numPr>
          <w:ilvl w:val="0"/>
          <w:numId w:val="1011"/>
        </w:numPr>
      </w:pPr>
      <m:oMath>
        <m:r>
          <m:t>V</m:t>
        </m:r>
      </m:oMath>
      <w:r>
        <w:t xml:space="preserve"> </w:t>
      </w:r>
      <w:r>
        <w:t xml:space="preserve">must not be affected by treatment (must be a pre-treatment variable)</w:t>
      </w:r>
    </w:p>
    <w:bookmarkEnd w:id="39"/>
    <w:bookmarkEnd w:id="40"/>
    <w:bookmarkStart w:id="44" w:name="censoring-and-missing-data-pp.-171-173"/>
    <w:p>
      <w:pPr>
        <w:pStyle w:val="Heading2"/>
      </w:pPr>
      <w:r>
        <w:t xml:space="preserve">6 12.6 Censoring and Missing Data (pp. 171-173)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IP weighting can also handle censoring and missing data under appropriate assumptions.</w:t>
      </w:r>
    </w:p>
    <w:bookmarkStart w:id="41" w:name="ip-weights-for-censoring"/>
    <w:p>
      <w:pPr>
        <w:pStyle w:val="Heading3"/>
      </w:pPr>
      <w:r>
        <w:t xml:space="preserve">6.1 IP Weights for Censoring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censored (data missing),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if uncensored (data observed).</w:t>
      </w:r>
    </w:p>
    <w:p>
      <w:pPr>
        <w:pStyle w:val="BodyText"/>
      </w:pPr>
      <w:r>
        <w:rPr>
          <w:b/>
          <w:bCs/>
        </w:rPr>
        <w:t xml:space="preserve">IP weight for censoring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W</m:t>
              </m:r>
            </m:e>
            <m:sup>
              <m:r>
                <m:t>C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L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These weights create a pseudo-population of only uncensored individuals.</w:t>
      </w:r>
    </w:p>
    <w:bookmarkEnd w:id="41"/>
    <w:bookmarkStart w:id="42" w:name="X644a405dcdc8b1cdf771c8bfb12aa40a3246893"/>
    <w:p>
      <w:pPr>
        <w:pStyle w:val="Heading3"/>
      </w:pPr>
      <w:r>
        <w:t xml:space="preserve">6.2 Joint Weights for Treatment and Censoring</w:t>
      </w:r>
    </w:p>
    <w:p>
      <w:pPr>
        <w:pStyle w:val="FirstParagraph"/>
      </w:pPr>
      <w:r>
        <w:t xml:space="preserve">When we have both confounding and censoring: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W</m:t>
              </m:r>
            </m:e>
            <m:sup>
              <m:r>
                <m:t>A</m:t>
              </m:r>
              <m:r>
                <m:rPr>
                  <m:sty m:val="p"/>
                </m:rPr>
                <m:t>,</m:t>
              </m:r>
              <m:r>
                <m:t>C</m:t>
              </m:r>
            </m:sup>
          </m:sSup>
          <m:r>
            <m:rPr>
              <m:sty m:val="p"/>
            </m:rPr>
            <m:t>=</m:t>
          </m:r>
          <m:sSup>
            <m:e>
              <m:r>
                <m:t>W</m:t>
              </m:r>
            </m:e>
            <m:sup>
              <m:r>
                <m:t>A</m:t>
              </m:r>
            </m:sup>
          </m:sSup>
          <m:r>
            <m:rPr>
              <m:sty m:val="p"/>
            </m:rPr>
            <m:t>×</m:t>
          </m:r>
          <m:sSup>
            <m:e>
              <m:r>
                <m:t>W</m:t>
              </m:r>
            </m:e>
            <m:sup>
              <m:r>
                <m:t>C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∣</m:t>
                  </m:r>
                  <m:r>
                    <m:t>L</m:t>
                  </m:r>
                </m:e>
              </m:d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L</m:t>
                  </m:r>
                </m:e>
              </m:d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Stabilized version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sSup>
            <m:e>
              <m:r>
                <m:t>W</m:t>
              </m:r>
            </m:e>
            <m:sup>
              <m:r>
                <m:t>A</m:t>
              </m:r>
              <m:r>
                <m:rPr>
                  <m:sty m:val="p"/>
                </m:rPr>
                <m:t>,</m:t>
              </m:r>
              <m:r>
                <m:t>C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A</m:t>
                  </m:r>
                </m:e>
              </m:d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∣</m:t>
                  </m:r>
                  <m:r>
                    <m:t>L</m:t>
                  </m:r>
                </m:e>
              </m:d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</m:e>
              </m:d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L</m:t>
                  </m:r>
                </m:e>
              </m:d>
            </m:den>
          </m:f>
        </m:oMath>
      </m:oMathPara>
    </w:p>
    <w:bookmarkEnd w:id="42"/>
    <w:bookmarkStart w:id="43" w:name="example-nhefs-with-loss-to-follow-up"/>
    <w:p>
      <w:pPr>
        <w:pStyle w:val="Heading3"/>
      </w:pPr>
      <w:r>
        <w:t xml:space="preserve">6.3 Example: NHEFS with Loss to Follow-up</w:t>
      </w:r>
    </w:p>
    <w:p>
      <w:pPr>
        <w:pStyle w:val="FirstParagraph"/>
      </w:pPr>
      <w:r>
        <w:rPr>
          <w:b/>
          <w:bCs/>
        </w:rPr>
        <w:t xml:space="preserve">Setting</w:t>
      </w:r>
      <w:r>
        <w:t xml:space="preserve">: Some individuals lost to follow-up by the second visit</w:t>
      </w:r>
    </w:p>
    <w:p>
      <w:pPr>
        <w:pStyle w:val="BodyText"/>
      </w:pPr>
      <w:r>
        <w:rPr>
          <w:b/>
          <w:bCs/>
        </w:rPr>
        <w:t xml:space="preserve">Assumption</w:t>
      </w:r>
      <w:r>
        <w:t xml:space="preserve">: Censoring is independent of potential outcomes given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L</m:t>
            </m:r>
          </m:e>
        </m:d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rPr>
              <m:sty m:val="p"/>
            </m:rPr>
            <m:t>⟂</m:t>
          </m:r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sSup>
            <m:e>
              <m:r>
                <m:t>Y</m:t>
              </m:r>
            </m:e>
            <m:sup>
              <m:r>
                <m:t>a</m:t>
              </m:r>
            </m:sup>
          </m:sSup>
          <m:r>
            <m:rPr>
              <m:sty m:val="p"/>
            </m:rPr>
            <m:t>∣</m:t>
          </m:r>
          <m:r>
            <m:t>A</m:t>
          </m:r>
          <m:r>
            <m:rPr>
              <m:sty m:val="p"/>
            </m:rPr>
            <m:t>,</m:t>
          </m:r>
          <m:r>
            <m:t>L</m:t>
          </m:r>
        </m:oMath>
      </m:oMathPara>
    </w:p>
    <w:p>
      <w:pPr>
        <w:pStyle w:val="FirstParagraph"/>
      </w:pPr>
      <w:r>
        <w:rPr>
          <w:b/>
          <w:bCs/>
        </w:rPr>
        <w:t xml:space="preserve">Procedure</w:t>
      </w:r>
      <w:r>
        <w:t xml:space="preserve">:</w:t>
      </w:r>
    </w:p>
    <w:p>
      <w:pPr>
        <w:pStyle w:val="Compact"/>
        <w:numPr>
          <w:ilvl w:val="0"/>
          <w:numId w:val="1012"/>
        </w:numPr>
      </w:pPr>
      <w:r>
        <w:t xml:space="preserve">Fit model for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C</m:t>
            </m:r>
            <m:r>
              <m:rPr>
                <m:sty m:val="p"/>
              </m:rPr>
              <m:t>=</m:t>
            </m:r>
            <m:r>
              <m:t>0</m:t>
            </m:r>
            <m:r>
              <m:rPr>
                <m:sty m:val="p"/>
              </m:rPr>
              <m:t>∣</m:t>
            </m:r>
            <m:r>
              <m:t>A</m:t>
            </m:r>
            <m:r>
              <m:rPr>
                <m:sty m:val="p"/>
              </m:rPr>
              <m:t>,</m:t>
            </m:r>
            <m:r>
              <m:t>L</m:t>
            </m:r>
          </m:e>
        </m:d>
      </m:oMath>
      <w:r>
        <w:t xml:space="preserve"> </w:t>
      </w:r>
      <w:r>
        <w:t xml:space="preserve">among all individuals</w:t>
      </w:r>
    </w:p>
    <w:p>
      <w:pPr>
        <w:pStyle w:val="Compact"/>
        <w:numPr>
          <w:ilvl w:val="0"/>
          <w:numId w:val="1012"/>
        </w:numPr>
      </w:pPr>
      <w:r>
        <w:t xml:space="preserve">Calculate censoring weights for uncensored individuals</w:t>
      </w:r>
    </w:p>
    <w:p>
      <w:pPr>
        <w:pStyle w:val="Compact"/>
        <w:numPr>
          <w:ilvl w:val="0"/>
          <w:numId w:val="1012"/>
        </w:numPr>
      </w:pPr>
      <w:r>
        <w:t xml:space="preserve">Multiply by treatment weights: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C</m:t>
            </m:r>
          </m:sup>
        </m:sSup>
      </m:oMath>
    </w:p>
    <w:p>
      <w:pPr>
        <w:pStyle w:val="Compact"/>
        <w:numPr>
          <w:ilvl w:val="0"/>
          <w:numId w:val="1012"/>
        </w:numPr>
      </w:pPr>
      <w:r>
        <w:t xml:space="preserve">Fit weighted MSM using uncensored data only</w:t>
      </w:r>
    </w:p>
    <w:p>
      <w:pPr>
        <w:pStyle w:val="FirstParagraph"/>
      </w:pPr>
      <w:r>
        <w:rPr>
          <w:b/>
          <w:bCs/>
        </w:rPr>
        <w:t xml:space="preserve">Assumptions required</w:t>
      </w:r>
      <w:r>
        <w:t xml:space="preserve">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Treatment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  <m:r>
          <m:rPr>
            <m:sty m:val="p"/>
          </m:rPr>
          <m:t>∣</m:t>
        </m:r>
        <m:r>
          <m:t>L</m:t>
        </m:r>
      </m:oMath>
      <w:r>
        <w:t xml:space="preserve"> </w:t>
      </w:r>
      <w:r>
        <w:t xml:space="preserve">(conditional exchangeability)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Censoring</w:t>
      </w:r>
      <w:r>
        <w:t xml:space="preserve">:</w:t>
      </w:r>
      <w:r>
        <w:t xml:space="preserve"> </w:t>
      </w:r>
      <m:oMath>
        <m:r>
          <m:t>C</m:t>
        </m:r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∣</m:t>
        </m:r>
        <m:r>
          <m:t>A</m:t>
        </m:r>
        <m:r>
          <m:rPr>
            <m:sty m:val="p"/>
          </m:rPr>
          <m:t>,</m:t>
        </m:r>
        <m:r>
          <m:t>L</m:t>
        </m:r>
      </m:oMath>
      <w:r>
        <w:t xml:space="preserve"> </w:t>
      </w:r>
      <w:r>
        <w:t xml:space="preserve">(missing at random)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Positivity</w:t>
      </w:r>
      <w:r>
        <w:t xml:space="preserve">: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r>
              <m:t>a</m:t>
            </m:r>
            <m:r>
              <m:rPr>
                <m:sty m:val="p"/>
              </m:rPr>
              <m:t>∣</m:t>
            </m:r>
            <m:r>
              <m:t>L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C</m:t>
            </m:r>
            <m:r>
              <m:rPr>
                <m:sty m:val="p"/>
              </m:rPr>
              <m:t>=</m:t>
            </m:r>
            <m:r>
              <m:t>0</m:t>
            </m:r>
            <m:r>
              <m:rPr>
                <m:sty m:val="p"/>
              </m:rPr>
              <m:t>∣</m:t>
            </m:r>
            <m:r>
              <m:t>A</m:t>
            </m:r>
            <m:r>
              <m:rPr>
                <m:sty m:val="p"/>
              </m:rPr>
              <m:t>,</m:t>
            </m:r>
            <m:r>
              <m:t>L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for all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L</m:t>
        </m:r>
      </m:oMath>
    </w:p>
    <w:p>
      <w:pPr>
        <w:pStyle w:val="FirstParagraph"/>
      </w:pPr>
      <w:r>
        <w:t xml:space="preserve">Missing at random (MAR) means censoring may depend on observed variables but not on the (unobserved) outcome. This is weaker than missing completely at random (MCAR).</w:t>
      </w:r>
    </w:p>
    <w:bookmarkEnd w:id="43"/>
    <w:bookmarkEnd w:id="44"/>
    <w:bookmarkStart w:id="47" w:name="a-likelihood-approach-pp.-173-174"/>
    <w:p>
      <w:pPr>
        <w:pStyle w:val="Heading2"/>
      </w:pPr>
      <w:r>
        <w:t xml:space="preserve">7 12.7 A Likelihood Approach (pp. 173-174)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IP weighting can be viewed through the lens of likelihood theory.</w:t>
      </w:r>
    </w:p>
    <w:bookmarkStart w:id="45" w:name="weighted-likelihood"/>
    <w:p>
      <w:pPr>
        <w:pStyle w:val="Heading3"/>
      </w:pPr>
      <w:r>
        <w:t xml:space="preserve">7.1 Weighted Likelihood</w:t>
      </w:r>
    </w:p>
    <w:p>
      <w:pPr>
        <w:pStyle w:val="FirstParagraph"/>
      </w:pPr>
      <w:r>
        <w:t xml:space="preserve">The IP weighted estimator solves the</w:t>
      </w:r>
      <w:r>
        <w:t xml:space="preserve"> </w:t>
      </w:r>
      <w:r>
        <w:rPr>
          <w:b/>
          <w:bCs/>
        </w:rPr>
        <w:t xml:space="preserve">weighted estimating equations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Sup>
                <m:e>
                  <m:r>
                    <m:t>W</m:t>
                  </m:r>
                </m:e>
                <m:sub>
                  <m:r>
                    <m:t>i</m:t>
                  </m:r>
                </m:sub>
                <m:sup>
                  <m:r>
                    <m:t>A</m:t>
                  </m:r>
                </m:sup>
              </m:sSubSup>
            </m:e>
          </m:nary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ty m:val="p"/>
                </m:rPr>
                <m:t>log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A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;</m:t>
                  </m:r>
                  <m:r>
                    <m:t>β</m:t>
                  </m:r>
                </m:e>
              </m:d>
            </m:num>
            <m:den>
              <m:r>
                <m:rPr>
                  <m:sty m:val="p"/>
                </m:rPr>
                <m:t>∂</m:t>
              </m:r>
              <m:r>
                <m:t>β</m:t>
              </m:r>
            </m:den>
          </m:f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This is equivalent to maximizing a</w:t>
      </w:r>
      <w:r>
        <w:t xml:space="preserve"> </w:t>
      </w:r>
      <w:r>
        <w:rPr>
          <w:b/>
          <w:bCs/>
        </w:rPr>
        <w:t xml:space="preserve">weighted likelihood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t>W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β</m:t>
              </m:r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f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∣</m:t>
                          </m:r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;</m:t>
                          </m:r>
                          <m:r>
                            <m:t>β</m:t>
                          </m:r>
                        </m:e>
                      </m:d>
                    </m:e>
                  </m:d>
                </m:e>
                <m:sup>
                  <m:sSubSup>
                    <m:e>
                      <m:r>
                        <m:t>W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A</m:t>
                      </m:r>
                    </m:sup>
                  </m:sSubSup>
                </m:sup>
              </m:sSup>
            </m:e>
          </m:nary>
        </m:oMath>
      </m:oMathPara>
    </w:p>
    <w:bookmarkEnd w:id="45"/>
    <w:bookmarkStart w:id="46" w:name="connection-to-maximum-likelihood"/>
    <w:p>
      <w:pPr>
        <w:pStyle w:val="Heading3"/>
      </w:pPr>
      <w:r>
        <w:t xml:space="preserve">7.2 Connection to Maximum Likelihood</w:t>
      </w:r>
    </w:p>
    <w:p>
      <w:pPr>
        <w:pStyle w:val="FirstParagraph"/>
      </w:pPr>
      <w:r>
        <w:rPr>
          <w:b/>
          <w:bCs/>
        </w:rPr>
        <w:t xml:space="preserve">Without confounding</w:t>
      </w:r>
      <w:r>
        <w:t xml:space="preserve">: Standard MLE of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in model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r>
              <m:t>A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;</m:t>
            </m:r>
            <m:r>
              <m:t>β</m:t>
            </m:r>
          </m:e>
        </m:d>
      </m:oMath>
    </w:p>
    <w:p>
      <w:pPr>
        <w:pStyle w:val="BodyText"/>
      </w:pPr>
      <w:r>
        <w:rPr>
          <w:b/>
          <w:bCs/>
        </w:rPr>
        <w:t xml:space="preserve">With confounding</w:t>
      </w:r>
      <w:r>
        <w:t xml:space="preserve">: IP weighted MLE of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in MSM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</m:sup>
            </m:sSup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;</m:t>
            </m:r>
            <m:r>
              <m:t>β</m:t>
            </m:r>
          </m:e>
        </m:d>
      </m:oMath>
    </w:p>
    <w:p>
      <w:pPr>
        <w:pStyle w:val="BodyText"/>
      </w:pPr>
      <w:r>
        <w:t xml:space="preserve">The IP weights</w:t>
      </w:r>
      <w:r>
        <w:t xml:space="preserve"> </w:t>
      </w:r>
      <w:r>
        <w:t xml:space="preserve">“adjust”</w:t>
      </w:r>
      <w:r>
        <w:t xml:space="preserve"> </w:t>
      </w:r>
      <w:r>
        <w:t xml:space="preserve">the likelihood to account for confounding.</w:t>
      </w:r>
    </w:p>
    <w:p>
      <w:pPr>
        <w:pStyle w:val="BodyText"/>
      </w:pPr>
      <w:r>
        <w:rPr>
          <w:b/>
          <w:bCs/>
        </w:rPr>
        <w:t xml:space="preserve">Theoretical advantages</w:t>
      </w:r>
      <w:r>
        <w:t xml:space="preserve">:</w:t>
      </w:r>
    </w:p>
    <w:p>
      <w:pPr>
        <w:pStyle w:val="Compact"/>
        <w:numPr>
          <w:ilvl w:val="0"/>
          <w:numId w:val="1014"/>
        </w:numPr>
      </w:pPr>
      <w:r>
        <w:t xml:space="preserve">IP weighted estimators have well-studied asymptotic properties</w:t>
      </w:r>
    </w:p>
    <w:p>
      <w:pPr>
        <w:pStyle w:val="Compact"/>
        <w:numPr>
          <w:ilvl w:val="0"/>
          <w:numId w:val="1014"/>
        </w:numPr>
      </w:pPr>
      <w:r>
        <w:t xml:space="preserve">Can derive standard errors from weighted likelihood theory</w:t>
      </w:r>
    </w:p>
    <w:p>
      <w:pPr>
        <w:pStyle w:val="Compact"/>
        <w:numPr>
          <w:ilvl w:val="0"/>
          <w:numId w:val="1014"/>
        </w:numPr>
      </w:pPr>
      <w:r>
        <w:t xml:space="preserve">Provides a unified framework for various causal inference methods</w:t>
      </w:r>
    </w:p>
    <w:p>
      <w:pPr>
        <w:pStyle w:val="FirstParagraph"/>
      </w:pPr>
      <w:r>
        <w:rPr>
          <w:b/>
          <w:bCs/>
        </w:rPr>
        <w:t xml:space="preserve">Practical note</w:t>
      </w:r>
      <w:r>
        <w:t xml:space="preserve">: Most software provides sandwich (robust) standard errors for IP weighted analyses, which account for:</w:t>
      </w:r>
      <w:r>
        <w:t xml:space="preserve"> </w:t>
      </w:r>
      <w:r>
        <w:t xml:space="preserve">- Uncertainty in IP weight estimation</w:t>
      </w:r>
      <w:r>
        <w:t xml:space="preserve"> </w:t>
      </w:r>
      <w:r>
        <w:t xml:space="preserve">- Model misspecification</w:t>
      </w:r>
      <w:r>
        <w:t xml:space="preserve"> </w:t>
      </w:r>
      <w:r>
        <w:t xml:space="preserve">- Clustering</w:t>
      </w:r>
    </w:p>
    <w:bookmarkEnd w:id="46"/>
    <w:bookmarkEnd w:id="47"/>
    <w:bookmarkStart w:id="51" w:name="summary"/>
    <w:p>
      <w:pPr>
        <w:pStyle w:val="Heading2"/>
      </w:pPr>
      <w:r>
        <w:t xml:space="preserve">8 Summary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Key concepts introduced</w:t>
      </w:r>
      <w:r>
        <w:t xml:space="preserve">: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Inverse probability weighting</w:t>
      </w:r>
      <w:r>
        <w:t xml:space="preserve">: Create a pseudo-population where treatment is independent of confounders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Stabilized weights</w:t>
      </w:r>
      <w:r>
        <w:t xml:space="preserve">: Reduce variability while maintaining confounding control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Marginal structural models</w:t>
      </w:r>
      <w:r>
        <w:t xml:space="preserve">: Models for the mean potential outcome as a function of treatment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Effect modification in MSMs</w:t>
      </w:r>
      <w:r>
        <w:t xml:space="preserve">: Include interactions to assess heterogeneity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Censoring weights</w:t>
      </w:r>
      <w:r>
        <w:t xml:space="preserve">: Handle missing data under MAR assumption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Weighted likelihood</w:t>
      </w:r>
      <w:r>
        <w:t xml:space="preserve">: Theoretical foundation for IP weighting</w:t>
      </w:r>
    </w:p>
    <w:p>
      <w:pPr>
        <w:pStyle w:val="FirstParagraph"/>
      </w:pPr>
      <w:r>
        <w:rPr>
          <w:b/>
          <w:bCs/>
        </w:rPr>
        <w:t xml:space="preserve">Advantages of IP weighting</w:t>
      </w:r>
      <w:r>
        <w:t xml:space="preserve">:</w:t>
      </w:r>
      <w:r>
        <w:t xml:space="preserve"> </w:t>
      </w:r>
      <w:r>
        <w:t xml:space="preserve">- Natural for marginal effects</w:t>
      </w:r>
      <w:r>
        <w:t xml:space="preserve"> </w:t>
      </w:r>
      <w:r>
        <w:t xml:space="preserve">- Handles continuous confounders easily</w:t>
      </w:r>
      <w:r>
        <w:t xml:space="preserve"> </w:t>
      </w:r>
      <w:r>
        <w:t xml:space="preserve">- Extends naturally to time-varying treatments (Part III)</w:t>
      </w:r>
      <w:r>
        <w:t xml:space="preserve"> </w:t>
      </w:r>
      <w:r>
        <w:t xml:space="preserve">- Can combine treatment and censoring weights</w:t>
      </w:r>
    </w:p>
    <w:p>
      <w:pPr>
        <w:pStyle w:val="BodyText"/>
      </w:pPr>
      <w:r>
        <w:rPr>
          <w:b/>
          <w:bCs/>
        </w:rPr>
        <w:t xml:space="preserve">Limitations</w:t>
      </w:r>
      <w:r>
        <w:t xml:space="preserve">:</w:t>
      </w:r>
      <w:r>
        <w:t xml:space="preserve"> </w:t>
      </w:r>
      <w:r>
        <w:t xml:space="preserve">- Requires correct specification of treatment model</w:t>
      </w:r>
      <w:r>
        <w:t xml:space="preserve"> </w:t>
      </w:r>
      <w:r>
        <w:t xml:space="preserve">- Can be unstable with extreme weights</w:t>
      </w:r>
      <w:r>
        <w:t xml:space="preserve"> </w:t>
      </w:r>
      <w:r>
        <w:t xml:space="preserve">- Positivity violations lead to extreme weights</w:t>
      </w:r>
      <w:r>
        <w:t xml:space="preserve"> </w:t>
      </w:r>
      <w:r>
        <w:t xml:space="preserve">- Efficiency loss compared to outcome modeling (when that model is correct)</w:t>
      </w:r>
    </w:p>
    <w:p>
      <w:pPr>
        <w:pStyle w:val="BodyText"/>
      </w:pPr>
      <w:r>
        <w:rPr>
          <w:b/>
          <w:bCs/>
        </w:rPr>
        <w:t xml:space="preserve">Looking ahead</w:t>
      </w:r>
      <w:r>
        <w:t xml:space="preserve">: Part III will extend these ideas to time-varying treatments and confounders, where IP weighting and MSMs are particularly powerful. We’ll see that handling time-varying confounding affected by prior treatment is impossible with standard regression, but natural with IP weighting.</w:t>
      </w:r>
    </w:p>
    <w:bookmarkStart w:id="50" w:name="refs"/>
    <w:bookmarkStart w:id="49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Boca Raton: Chapman &amp; Hall/CRC.</w:t>
      </w:r>
      <w:r>
        <w:t xml:space="preserve"> </w:t>
      </w:r>
      <w:hyperlink r:id="rId48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49"/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8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8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IP Weighting and Marginal Structural Models</dc:title>
  <dc:creator/>
  <cp:keywords/>
  <dcterms:created xsi:type="dcterms:W3CDTF">2026-01-15T18:26:02Z</dcterms:created>
  <dcterms:modified xsi:type="dcterms:W3CDTF">2026-01-15T18:26:02Z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knitr">
    <vt:lpwstr/>
  </property>
  <property fmtid="{D5CDD505-2E9C-101B-9397-08002B2CF9AE}" pid="10" name="labels">
    <vt:lpwstr/>
  </property>
  <property fmtid="{D5CDD505-2E9C-101B-9397-08002B2CF9AE}" pid="11" name="number-depth">
    <vt:lpwstr>3</vt:lpwstr>
  </property>
  <property fmtid="{D5CDD505-2E9C-101B-9397-08002B2CF9AE}" pid="12" name="toc-title">
    <vt:lpwstr>Table of contents</vt:lpwstr>
  </property>
</Properties>
</file>