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15: Outcome Regression and Propensity Scores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This chapter explores</w:t>
      </w:r>
      <w:r>
        <w:t xml:space="preserve"> </w:t>
      </w:r>
      <w:r>
        <w:rPr>
          <w:b/>
          <w:bCs/>
        </w:rPr>
        <w:t xml:space="preserve">outcome regression</w:t>
      </w:r>
      <w:r>
        <w:t xml:space="preserve"> </w:t>
      </w:r>
      <w:r>
        <w:t xml:space="preserve">and</w:t>
      </w:r>
      <w:r>
        <w:t xml:space="preserve"> </w:t>
      </w:r>
      <w:r>
        <w:rPr>
          <w:b/>
          <w:bCs/>
        </w:rPr>
        <w:t xml:space="preserve">propensity scores</w:t>
      </w:r>
      <w:r>
        <w:t xml:space="preserve"> </w:t>
      </w:r>
      <w:r>
        <w:t xml:space="preserve">in greater depth, clarifying their roles in causal inference. We examine when simple regression adjustment is sufficient, when it fails, and how propensity scores can be used for confounding adjustment through matching, stratification, or weighting.</w:t>
      </w:r>
    </w:p>
    <w:p>
      <w:pPr>
        <w:pStyle w:val="BodyText"/>
      </w:pPr>
      <w:r>
        <w:t xml:space="preserve">This chapter is based on</w:t>
      </w:r>
      <w:r>
        <w:t xml:space="preserve"> </w:t>
      </w:r>
      <w:r>
        <w:t xml:space="preserve">Hernán and Robins (2020, chap. 15, pp. 207-226)</w:t>
      </w:r>
      <w:r>
        <w:t xml:space="preserve">.</w:t>
      </w:r>
    </w:p>
    <w:p>
      <w:pPr>
        <w:pStyle w:val="BodyText"/>
      </w:pPr>
      <w:r>
        <w:rPr>
          <w:b/>
          <w:bCs/>
        </w:rPr>
        <w:t xml:space="preserve">Key theme</w:t>
      </w:r>
      <w:r>
        <w:t xml:space="preserve">: Outcome regression and propensity scores are tools, not magical solutions. Their success depends on correctly specifying models and satisfying causal assumptions (especially conditional exchangeability and positivity).</w:t>
      </w:r>
    </w:p>
    <w:bookmarkStart w:id="24" w:name="outcome-regression-pp.-207-210"/>
    <w:p>
      <w:pPr>
        <w:pStyle w:val="Heading2"/>
      </w:pPr>
      <w:r>
        <w:t xml:space="preserve">1 15.1 Outcome Regression (pp. 207-210)</w:t>
      </w:r>
    </w:p>
    <w:p>
      <w:r>
        <w:pict>
          <v:rect style="width:0;height:1.5pt" o:hralign="center" o:hrstd="t" o:hr="t"/>
        </w:pict>
      </w:r>
    </w:p>
    <w:p>
      <w:pPr>
        <w:pStyle w:val="FirstParagraph"/>
      </w:pPr>
      <w:r>
        <w:rPr>
          <w:b/>
          <w:bCs/>
        </w:rPr>
        <w:t xml:space="preserve">Outcome regression</w:t>
      </w:r>
      <w:r>
        <w:t xml:space="preserve"> </w:t>
      </w:r>
      <w:r>
        <w:t xml:space="preserve">estimates causal effects by modeling the outcome as a function of treatment and confounders.</w:t>
      </w:r>
    </w:p>
    <w:bookmarkStart w:id="21" w:name="the-outcome-regression-approach"/>
    <w:p>
      <w:pPr>
        <w:pStyle w:val="Heading3"/>
      </w:pPr>
      <w:r>
        <w:t xml:space="preserve">1.1 The Outcome Regression Approach</w:t>
      </w:r>
    </w:p>
    <w:bookmarkStart w:id="20" w:name="def-outcome-regression"/>
    <w:p>
      <w:pPr>
        <w:pStyle w:val="FirstParagraph"/>
      </w:pPr>
      <w:r>
        <w:rPr>
          <w:b/>
          <w:bCs/>
        </w:rPr>
        <w:t xml:space="preserve">Definition 1 (Outcome Regression)</w:t>
      </w:r>
      <w:r>
        <w:t xml:space="preserve"> </w:t>
      </w:r>
      <w:r>
        <w:rPr>
          <w:b/>
          <w:bCs/>
        </w:rPr>
        <w:t xml:space="preserve">Outcome regression</w:t>
      </w:r>
      <w:r>
        <w:t xml:space="preserve"> </w:t>
      </w:r>
      <w:r>
        <w:t xml:space="preserve">for causal inference:</w:t>
      </w:r>
    </w:p>
    <w:p>
      <w:pPr>
        <w:pStyle w:val="Compact"/>
        <w:numPr>
          <w:ilvl w:val="0"/>
          <w:numId w:val="1001"/>
        </w:numPr>
      </w:pPr>
      <w:r>
        <w:t xml:space="preserve">Fit a model for</w:t>
      </w:r>
      <w:r>
        <w:t xml:space="preserve"> </w:t>
      </w:r>
      <m:oMath>
        <m:r>
          <m:t>E</m:t>
        </m:r>
        <m:d>
          <m:dPr>
            <m:begChr m:val="["/>
            <m:sepChr m:val=""/>
            <m:endChr m:val="]"/>
            <m:grow/>
          </m:dPr>
          <m:e>
            <m:r>
              <m:t>Y</m:t>
            </m:r>
            <m:r>
              <m:rPr>
                <m:sty m:val="p"/>
              </m:rPr>
              <m:t>∣</m:t>
            </m:r>
            <m:r>
              <m:t>A</m:t>
            </m:r>
            <m:r>
              <m:rPr>
                <m:sty m:val="p"/>
              </m:rPr>
              <m:t>,</m:t>
            </m:r>
            <m:r>
              <m:t>L</m:t>
            </m:r>
          </m:e>
        </m:d>
      </m:oMath>
    </w:p>
    <w:p>
      <w:pPr>
        <w:pStyle w:val="Compact"/>
        <w:numPr>
          <w:ilvl w:val="0"/>
          <w:numId w:val="1001"/>
        </w:numPr>
      </w:pPr>
      <w:r>
        <w:t xml:space="preserve">Use the model to compute standardized means (g-formula)</w:t>
      </w:r>
    </w:p>
    <w:p>
      <w:pPr>
        <w:pStyle w:val="Compact"/>
        <w:numPr>
          <w:ilvl w:val="0"/>
          <w:numId w:val="1001"/>
        </w:numPr>
      </w:pPr>
      <w:r>
        <w:t xml:space="preserve">Estimate causal effects as contrasts of standardized means</w:t>
      </w:r>
    </w:p>
    <w:p>
      <w:pPr>
        <w:pStyle w:val="FirstParagraph"/>
      </w:pPr>
      <w:r>
        <w:t xml:space="preserve">For simple cases, the treatment coefficient may approximate the causal effect, but this requires strong assumptions.</w:t>
      </w:r>
    </w:p>
    <w:bookmarkEnd w:id="20"/>
    <w:bookmarkEnd w:id="21"/>
    <w:bookmarkStart w:id="22" w:name="X6971f592ee31278839e97783f2a2b744a3bd93b"/>
    <w:p>
      <w:pPr>
        <w:pStyle w:val="Heading3"/>
      </w:pPr>
      <w:r>
        <w:t xml:space="preserve">1.2 When Does the Treatment Coefficient Equal the Causal Effect?</w:t>
      </w:r>
    </w:p>
    <w:p>
      <w:pPr>
        <w:pStyle w:val="FirstParagraph"/>
      </w:pPr>
      <w:r>
        <w:rPr>
          <w:b/>
          <w:bCs/>
        </w:rPr>
        <w:t xml:space="preserve">Model</w:t>
      </w:r>
      <w:r>
        <w:t xml:space="preserve">:</w:t>
      </w:r>
      <w:r>
        <w:t xml:space="preserve"> </w:t>
      </w:r>
      <m:oMath>
        <m: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oMath>
    </w:p>
    <w:p>
      <w:pPr>
        <w:pStyle w:val="BodyText"/>
      </w:pPr>
      <w:r>
        <w:rPr>
          <w:b/>
          <w:bCs/>
        </w:rPr>
        <w:t xml:space="preserve">Question</w:t>
      </w:r>
      <w:r>
        <w:t xml:space="preserve">: When does</w:t>
      </w:r>
      <w:r>
        <w:t xml:space="preserve"> </w:t>
      </w:r>
      <m:oMath>
        <m:sSub>
          <m:e>
            <m:r>
              <m:t>β</m:t>
            </m:r>
          </m:e>
          <m:sub>
            <m:r>
              <m:t>1</m:t>
            </m:r>
          </m:sub>
        </m:sSub>
        <m:r>
          <m:rPr>
            <m:sty m:val="p"/>
          </m:rPr>
          <m:t>=</m:t>
        </m:r>
        <m:r>
          <m:t>E</m:t>
        </m:r>
        <m:d>
          <m:dPr>
            <m:begChr m:val="["/>
            <m:sepChr m:val=""/>
            <m:endChr m:val="]"/>
            <m:grow/>
          </m:dPr>
          <m:e>
            <m:sSup>
              <m:e>
                <m:r>
                  <m:t>Y</m:t>
                </m:r>
              </m:e>
              <m:sup>
                <m:r>
                  <m:t>a</m:t>
                </m:r>
                <m:r>
                  <m:rPr>
                    <m:sty m:val="p"/>
                  </m:rPr>
                  <m:t>=</m:t>
                </m:r>
                <m:r>
                  <m:t>1</m:t>
                </m:r>
              </m:sup>
            </m:sSup>
          </m:e>
        </m:d>
        <m:r>
          <m:rPr>
            <m:sty m:val="p"/>
          </m:rPr>
          <m:t>−</m:t>
        </m:r>
        <m:r>
          <m:t>E</m:t>
        </m:r>
        <m:d>
          <m:dPr>
            <m:begChr m:val="["/>
            <m:sepChr m:val=""/>
            <m:endChr m:val="]"/>
            <m:grow/>
          </m:dPr>
          <m:e>
            <m:sSup>
              <m:e>
                <m:r>
                  <m:t>Y</m:t>
                </m:r>
              </m:e>
              <m:sup>
                <m:r>
                  <m:t>a</m:t>
                </m:r>
                <m:r>
                  <m:rPr>
                    <m:sty m:val="p"/>
                  </m:rPr>
                  <m:t>=</m:t>
                </m:r>
                <m:r>
                  <m:t>0</m:t>
                </m:r>
              </m:sup>
            </m:sSup>
          </m:e>
        </m:d>
      </m:oMath>
      <w:r>
        <w:t xml:space="preserve">?</w:t>
      </w:r>
    </w:p>
    <w:p>
      <w:pPr>
        <w:pStyle w:val="BodyText"/>
      </w:pPr>
      <w:r>
        <w:rPr>
          <w:b/>
          <w:bCs/>
        </w:rPr>
        <w:t xml:space="preserve">Answer</w:t>
      </w:r>
      <w:r>
        <w:t xml:space="preserve">: Only under restrictive conditions:</w:t>
      </w:r>
    </w:p>
    <w:p>
      <w:pPr>
        <w:pStyle w:val="Compact"/>
        <w:numPr>
          <w:ilvl w:val="0"/>
          <w:numId w:val="1002"/>
        </w:numPr>
      </w:pPr>
      <w:r>
        <w:rPr>
          <w:b/>
          <w:bCs/>
        </w:rPr>
        <w:t xml:space="preserve">No confounding</w:t>
      </w:r>
      <w:r>
        <w:t xml:space="preserve">:</w:t>
      </w:r>
      <w:r>
        <w:t xml:space="preserve"> </w:t>
      </w:r>
      <m:oMath>
        <m:sSup>
          <m:e>
            <m:r>
              <m:t>Y</m:t>
            </m:r>
          </m:e>
          <m:sup>
            <m:r>
              <m:t>a</m:t>
            </m:r>
          </m:sup>
        </m:sSup>
        <m:r>
          <m:rPr>
            <m:sty m:val="p"/>
          </m:rPr>
          <m:t>⟂</m:t>
        </m:r>
        <m:r>
          <m:t>​</m:t>
        </m:r>
        <m:r>
          <m:t>​</m:t>
        </m:r>
        <m:r>
          <m:t>​</m:t>
        </m:r>
        <m:r>
          <m:rPr>
            <m:sty m:val="p"/>
          </m:rPr>
          <m:t>⟂</m:t>
        </m:r>
        <m:r>
          <m:t>A</m:t>
        </m:r>
      </m:oMath>
      <w:r>
        <w:t xml:space="preserve"> </w:t>
      </w:r>
      <w:r>
        <w:t xml:space="preserve">(conditional exchangeability not needed)</w:t>
      </w:r>
    </w:p>
    <w:p>
      <w:pPr>
        <w:pStyle w:val="Compact"/>
        <w:numPr>
          <w:ilvl w:val="0"/>
          <w:numId w:val="1002"/>
        </w:numPr>
      </w:pPr>
      <w:r>
        <w:rPr>
          <w:b/>
          <w:bCs/>
        </w:rPr>
        <w:t xml:space="preserve">No effect modification</w:t>
      </w:r>
      <w:r>
        <w:t xml:space="preserve">: The causal effect doesn’t vary with</w:t>
      </w:r>
      <w:r>
        <w:t xml:space="preserve"> </w:t>
      </w:r>
      <m:oMath>
        <m:r>
          <m:t>L</m:t>
        </m:r>
      </m:oMath>
    </w:p>
    <w:p>
      <w:pPr>
        <w:pStyle w:val="Compact"/>
        <w:numPr>
          <w:ilvl w:val="0"/>
          <w:numId w:val="1002"/>
        </w:numPr>
      </w:pPr>
      <w:r>
        <w:rPr>
          <w:b/>
          <w:bCs/>
        </w:rPr>
        <w:t xml:space="preserve">Correct model specification</w:t>
      </w:r>
      <w:r>
        <w:t xml:space="preserve">: Linear model is correct</w:t>
      </w:r>
    </w:p>
    <w:p>
      <w:pPr>
        <w:pStyle w:val="FirstParagraph"/>
      </w:pPr>
      <w:r>
        <w:t xml:space="preserve">If effect modification exists,</w:t>
      </w:r>
      <w:r>
        <w:t xml:space="preserve"> </w:t>
      </w:r>
      <m:oMath>
        <m:sSub>
          <m:e>
            <m:r>
              <m:t>β</m:t>
            </m:r>
          </m:e>
          <m:sub>
            <m:r>
              <m:t>1</m:t>
            </m:r>
          </m:sub>
        </m:sSub>
      </m:oMath>
      <w:r>
        <w:t xml:space="preserve"> </w:t>
      </w:r>
      <w:r>
        <w:t xml:space="preserve">is a weighted average of conditional effects, not generally equal to the marginal causal effect.</w:t>
      </w:r>
    </w:p>
    <w:p>
      <w:pPr>
        <w:pStyle w:val="BodyText"/>
      </w:pPr>
      <w:r>
        <w:rPr>
          <w:b/>
          <w:bCs/>
        </w:rPr>
        <w:t xml:space="preserve">Why this matters</w:t>
      </w:r>
      <w:r>
        <w:t xml:space="preserve">:</w:t>
      </w:r>
    </w:p>
    <w:p>
      <w:pPr>
        <w:pStyle w:val="BodyText"/>
      </w:pPr>
      <w:r>
        <w:t xml:space="preserve">Many researchers fit</w:t>
      </w:r>
      <w:r>
        <w:t xml:space="preserve"> </w:t>
      </w:r>
      <m:oMath>
        <m:r>
          <m:t>Y</m:t>
        </m:r>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oMath>
      <w:r>
        <w:t xml:space="preserve"> </w:t>
      </w:r>
      <w:r>
        <w:t xml:space="preserve">and interpret</w:t>
      </w:r>
      <w:r>
        <w:t xml:space="preserve"> </w:t>
      </w:r>
      <m:oMath>
        <m:sSub>
          <m:e>
            <m:r>
              <m:t>β</m:t>
            </m:r>
          </m:e>
          <m:sub>
            <m:r>
              <m:t>1</m:t>
            </m:r>
          </m:sub>
        </m:sSub>
      </m:oMath>
      <w:r>
        <w:t xml:space="preserve"> </w:t>
      </w:r>
      <w:r>
        <w:t xml:space="preserve">as the causal effect. This is valid ONLY if:</w:t>
      </w:r>
    </w:p>
    <w:p>
      <w:pPr>
        <w:pStyle w:val="Compact"/>
        <w:numPr>
          <w:ilvl w:val="0"/>
          <w:numId w:val="1003"/>
        </w:numPr>
      </w:pPr>
      <w:r>
        <w:t xml:space="preserve">No unmeasured confounding (always required)</w:t>
      </w:r>
    </w:p>
    <w:p>
      <w:pPr>
        <w:pStyle w:val="Compact"/>
        <w:numPr>
          <w:ilvl w:val="0"/>
          <w:numId w:val="1003"/>
        </w:numPr>
      </w:pPr>
      <w:r>
        <w:t xml:space="preserve">No effect modification by measured confounders</w:t>
      </w:r>
    </w:p>
    <w:p>
      <w:pPr>
        <w:pStyle w:val="Compact"/>
        <w:numPr>
          <w:ilvl w:val="0"/>
          <w:numId w:val="1003"/>
        </w:numPr>
      </w:pPr>
      <w:r>
        <w:t xml:space="preserve">Correct linear model</w:t>
      </w:r>
    </w:p>
    <w:p>
      <w:pPr>
        <w:pStyle w:val="FirstParagraph"/>
      </w:pPr>
      <w:r>
        <w:t xml:space="preserve">When effect modification exists, use the g-formula to properly standardize, or include</w:t>
      </w:r>
      <w:r>
        <w:t xml:space="preserve"> </w:t>
      </w:r>
      <m:oMath>
        <m:r>
          <m:t>A</m:t>
        </m:r>
        <m:r>
          <m:rPr>
            <m:sty m:val="p"/>
          </m:rPr>
          <m:t>×</m:t>
        </m:r>
        <m:r>
          <m:t>L</m:t>
        </m:r>
      </m:oMath>
      <w:r>
        <w:t xml:space="preserve"> </w:t>
      </w:r>
      <w:r>
        <w:t xml:space="preserve">interactions in the model.</w:t>
      </w:r>
    </w:p>
    <w:bookmarkEnd w:id="22"/>
    <w:bookmarkStart w:id="23" w:name="example-nhefs-study"/>
    <w:p>
      <w:pPr>
        <w:pStyle w:val="Heading3"/>
      </w:pPr>
      <w:r>
        <w:t xml:space="preserve">1.3 Example: NHEFS Study</w:t>
      </w:r>
    </w:p>
    <w:p>
      <w:pPr>
        <w:pStyle w:val="FirstParagraph"/>
      </w:pPr>
      <w:r>
        <w:rPr>
          <w:b/>
          <w:bCs/>
        </w:rPr>
        <w:t xml:space="preserve">Simple model</w:t>
      </w:r>
      <w:r>
        <w:t xml:space="preserve">:</w:t>
      </w:r>
    </w:p>
    <w:p>
      <w:pPr>
        <w:pStyle w:val="BodyText"/>
      </w:pPr>
      <m:oMathPara>
        <m:oMathParaPr>
          <m:jc m:val="center"/>
        </m:oMathParaPr>
        <m:oMath>
          <m:r>
            <m:t>E</m:t>
          </m:r>
          <m:d>
            <m:dPr>
              <m:begChr m:val="["/>
              <m:sepChr m:val=""/>
              <m:endChr m:val="]"/>
              <m:grow/>
            </m:dPr>
            <m:e>
              <m:r>
                <m:rPr>
                  <m:nor/>
                  <m:sty m:val="p"/>
                </m:rPr>
                <m:t>Weight Change</m:t>
              </m:r>
              <m:r>
                <m:rPr>
                  <m:sty m:val="p"/>
                </m:rPr>
                <m:t>∣</m:t>
              </m:r>
              <m:r>
                <m:t>A</m:t>
              </m:r>
              <m:r>
                <m:rPr>
                  <m:sty m:val="p"/>
                </m:rPr>
                <m:t>,</m:t>
              </m:r>
              <m:r>
                <m:t>L</m:t>
              </m:r>
            </m:e>
          </m:d>
          <m:r>
            <m:rPr>
              <m:sty m:val="p"/>
            </m:rPr>
            <m:t>=</m:t>
          </m:r>
          <m:sSub>
            <m:e>
              <m:r>
                <m:t>β</m:t>
              </m:r>
            </m:e>
            <m:sub>
              <m:r>
                <m:t>0</m:t>
              </m:r>
            </m:sub>
          </m:sSub>
          <m:r>
            <m:rPr>
              <m:sty m:val="p"/>
            </m:rPr>
            <m:t>+</m:t>
          </m:r>
          <m:sSub>
            <m:e>
              <m:r>
                <m:t>β</m:t>
              </m:r>
            </m:e>
            <m:sub>
              <m:r>
                <m:t>1</m:t>
              </m:r>
            </m:sub>
          </m:sSub>
          <m:r>
            <m:rPr>
              <m:nor/>
              <m:sty m:val="p"/>
            </m:rPr>
            <m:t>Quit</m:t>
          </m:r>
          <m:r>
            <m:rPr>
              <m:sty m:val="p"/>
            </m:rPr>
            <m:t>+</m:t>
          </m:r>
          <m:sSub>
            <m:e>
              <m:r>
                <m:t>β</m:t>
              </m:r>
            </m:e>
            <m:sub>
              <m:r>
                <m:t>2</m:t>
              </m:r>
            </m:sub>
          </m:sSub>
          <m:r>
            <m:rPr>
              <m:nor/>
              <m:sty m:val="p"/>
            </m:rPr>
            <m:t>Age</m:t>
          </m:r>
          <m:r>
            <m:rPr>
              <m:sty m:val="p"/>
            </m:rPr>
            <m:t>+</m:t>
          </m:r>
          <m:sSub>
            <m:e>
              <m:r>
                <m:t>β</m:t>
              </m:r>
            </m:e>
            <m:sub>
              <m:r>
                <m:t>3</m:t>
              </m:r>
            </m:sub>
          </m:sSub>
          <m:r>
            <m:rPr>
              <m:nor/>
              <m:sty m:val="p"/>
            </m:rPr>
            <m:t>Sex</m:t>
          </m:r>
          <m:r>
            <m:rPr>
              <m:sty m:val="p"/>
            </m:rPr>
            <m:t>+</m:t>
          </m:r>
          <m:r>
            <m:rPr>
              <m:sty m:val="p"/>
            </m:rPr>
            <m:t>…</m:t>
          </m:r>
        </m:oMath>
      </m:oMathPara>
    </w:p>
    <w:p>
      <w:pPr>
        <w:pStyle w:val="FirstParagraph"/>
      </w:pPr>
      <w:r>
        <w:rPr>
          <w:b/>
          <w:bCs/>
        </w:rPr>
        <w:t xml:space="preserve">Issues</w:t>
      </w:r>
      <w:r>
        <w:t xml:space="preserve">:</w:t>
      </w:r>
    </w:p>
    <w:p>
      <w:pPr>
        <w:pStyle w:val="Compact"/>
        <w:numPr>
          <w:ilvl w:val="0"/>
          <w:numId w:val="1004"/>
        </w:numPr>
      </w:pPr>
      <w:r>
        <w:t xml:space="preserve">Assumes effect of quitting is the same for all individuals</w:t>
      </w:r>
    </w:p>
    <w:p>
      <w:pPr>
        <w:pStyle w:val="Compact"/>
        <w:numPr>
          <w:ilvl w:val="0"/>
          <w:numId w:val="1004"/>
        </w:numPr>
      </w:pPr>
      <w:r>
        <w:t xml:space="preserve">If the effect varies by age, sex, or other factors,</w:t>
      </w:r>
      <w:r>
        <w:t xml:space="preserve"> </w:t>
      </w:r>
      <m:oMath>
        <m:sSub>
          <m:e>
            <m:r>
              <m:t>β</m:t>
            </m:r>
          </m:e>
          <m:sub>
            <m:r>
              <m:t>1</m:t>
            </m:r>
          </m:sub>
        </m:sSub>
      </m:oMath>
      <w:r>
        <w:t xml:space="preserve"> </w:t>
      </w:r>
      <w:r>
        <w:t xml:space="preserve">doesn’t equal the marginal causal effect</w:t>
      </w:r>
    </w:p>
    <w:p>
      <w:pPr>
        <w:pStyle w:val="Compact"/>
        <w:numPr>
          <w:ilvl w:val="0"/>
          <w:numId w:val="1004"/>
        </w:numPr>
      </w:pPr>
      <w:r>
        <w:t xml:space="preserve">Need to add interactions or use g-formula</w:t>
      </w:r>
    </w:p>
    <w:p>
      <w:pPr>
        <w:pStyle w:val="FirstParagraph"/>
      </w:pPr>
      <w:r>
        <w:rPr>
          <w:b/>
          <w:bCs/>
        </w:rPr>
        <w:t xml:space="preserve">Better approach</w:t>
      </w:r>
      <w:r>
        <w:t xml:space="preserve">:</w:t>
      </w:r>
    </w:p>
    <w:p>
      <w:pPr>
        <w:pStyle w:val="BodyText"/>
      </w:pPr>
      <m:oMathPara>
        <m:oMathParaPr>
          <m:jc m:val="center"/>
        </m:oMathParaPr>
        <m:oMath>
          <m: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r>
            <m:rPr>
              <m:sty m:val="p"/>
            </m:rPr>
            <m:t>+</m:t>
          </m:r>
          <m:sSubSup>
            <m:e>
              <m:r>
                <m:t>β</m:t>
              </m:r>
            </m:e>
            <m:sub>
              <m:r>
                <m:t>3</m:t>
              </m:r>
            </m:sub>
            <m:sup>
              <m:r>
                <m:rPr>
                  <m:sty m:val="p"/>
                </m:rPr>
                <m:t>⊤</m:t>
              </m:r>
            </m:sup>
          </m:sSubSup>
          <m:d>
            <m:dPr>
              <m:begChr m:val="("/>
              <m:sepChr m:val=""/>
              <m:endChr m:val=")"/>
              <m:grow/>
            </m:dPr>
            <m:e>
              <m:r>
                <m:t>A</m:t>
              </m:r>
              <m:r>
                <m:rPr>
                  <m:sty m:val="p"/>
                </m:rPr>
                <m:t>×</m:t>
              </m:r>
              <m:r>
                <m:t>L</m:t>
              </m:r>
            </m:e>
          </m:d>
        </m:oMath>
      </m:oMathPara>
    </w:p>
    <w:p>
      <w:pPr>
        <w:pStyle w:val="FirstParagraph"/>
      </w:pPr>
      <w:r>
        <w:t xml:space="preserve">Then use g-formula to compute marginal effect.</w:t>
      </w:r>
    </w:p>
    <w:bookmarkEnd w:id="23"/>
    <w:bookmarkEnd w:id="24"/>
    <w:bookmarkStart w:id="28" w:name="propensity-scores-pp.-210-213"/>
    <w:p>
      <w:pPr>
        <w:pStyle w:val="Heading2"/>
      </w:pPr>
      <w:r>
        <w:t xml:space="preserve">2 15.2 Propensity Scores (pp. 210-213)</w:t>
      </w:r>
    </w:p>
    <w:p>
      <w:r>
        <w:pict>
          <v:rect style="width:0;height:1.5pt" o:hralign="center" o:hrstd="t" o:hr="t"/>
        </w:pict>
      </w:r>
    </w:p>
    <w:p>
      <w:pPr>
        <w:pStyle w:val="FirstParagraph"/>
      </w:pPr>
      <w:r>
        <w:t xml:space="preserve">The</w:t>
      </w:r>
      <w:r>
        <w:t xml:space="preserve"> </w:t>
      </w:r>
      <w:r>
        <w:rPr>
          <w:b/>
          <w:bCs/>
        </w:rPr>
        <w:t xml:space="preserve">propensity score</w:t>
      </w:r>
      <w:r>
        <w:t xml:space="preserve"> </w:t>
      </w:r>
      <w:r>
        <w:t xml:space="preserve">is the probability of receiving treatment given confounders. It plays a central role in observational studies.</w:t>
      </w:r>
    </w:p>
    <w:bookmarkStart w:id="25" w:name="def-propensity-score"/>
    <w:p>
      <w:pPr>
        <w:pStyle w:val="BodyText"/>
      </w:pPr>
      <w:r>
        <w:rPr>
          <w:b/>
          <w:bCs/>
        </w:rPr>
        <w:t xml:space="preserve">Definition 2 (Propensity Score)</w:t>
      </w:r>
      <w:r>
        <w:t xml:space="preserve"> </w:t>
      </w:r>
      <w:r>
        <w:t xml:space="preserve">The</w:t>
      </w:r>
      <w:r>
        <w:t xml:space="preserve"> </w:t>
      </w:r>
      <w:r>
        <w:rPr>
          <w:b/>
          <w:bCs/>
        </w:rPr>
        <w:t xml:space="preserve">propensity score</w:t>
      </w:r>
      <w:r>
        <w:t xml:space="preserve"> </w:t>
      </w:r>
      <w:r>
        <w:t xml:space="preserve">is:</w:t>
      </w:r>
    </w:p>
    <w:p>
      <w:pPr>
        <w:pStyle w:val="BodyText"/>
      </w:pPr>
      <m:oMathPara>
        <m:oMathParaPr>
          <m:jc m:val="center"/>
        </m:oMathParaPr>
        <m:oMath>
          <m:r>
            <m:t>e</m:t>
          </m:r>
          <m:d>
            <m:dPr>
              <m:begChr m:val="("/>
              <m:sepChr m:val=""/>
              <m:endChr m:val=")"/>
              <m:grow/>
            </m:dPr>
            <m:e>
              <m:r>
                <m:t>L</m:t>
              </m:r>
            </m:e>
          </m:d>
          <m:r>
            <m:rPr>
              <m:sty m:val="p"/>
            </m:rPr>
            <m:t>=</m:t>
          </m:r>
          <m:r>
            <m:rPr>
              <m:sty m:val="p"/>
            </m:rPr>
            <m:t>Pr</m:t>
          </m:r>
          <m:d>
            <m:dPr>
              <m:begChr m:val="["/>
              <m:sepChr m:val=""/>
              <m:endChr m:val="]"/>
              <m:grow/>
            </m:dPr>
            <m:e>
              <m:r>
                <m:t>A</m:t>
              </m:r>
              <m:r>
                <m:rPr>
                  <m:sty m:val="p"/>
                </m:rPr>
                <m:t>=</m:t>
              </m:r>
              <m:r>
                <m:t>1</m:t>
              </m:r>
              <m:r>
                <m:rPr>
                  <m:sty m:val="p"/>
                </m:rPr>
                <m:t>∣</m:t>
              </m:r>
              <m:r>
                <m:t>L</m:t>
              </m:r>
            </m:e>
          </m:d>
        </m:oMath>
      </m:oMathPara>
    </w:p>
    <w:p>
      <w:pPr>
        <w:pStyle w:val="FirstParagraph"/>
      </w:pPr>
      <w:r>
        <w:t xml:space="preserve">For individual</w:t>
      </w:r>
      <w:r>
        <w:t xml:space="preserve"> </w:t>
      </w:r>
      <m:oMath>
        <m:r>
          <m:t>i</m:t>
        </m:r>
      </m:oMath>
      <w:r>
        <w:t xml:space="preserve"> </w:t>
      </w:r>
      <w:r>
        <w:t xml:space="preserve">with covariates</w:t>
      </w:r>
      <w:r>
        <w:t xml:space="preserve"> </w:t>
      </w:r>
      <m:oMath>
        <m:sSub>
          <m:e>
            <m:r>
              <m:t>L</m:t>
            </m:r>
          </m:e>
          <m:sub>
            <m:r>
              <m:t>i</m:t>
            </m:r>
          </m:sub>
        </m:sSub>
      </m:oMath>
      <w:r>
        <w:t xml:space="preserve">, the propensity score is</w:t>
      </w:r>
      <w:r>
        <w:t xml:space="preserve"> </w:t>
      </w:r>
      <m:oMath>
        <m:r>
          <m:t>e</m:t>
        </m:r>
        <m:d>
          <m:dPr>
            <m:begChr m:val="("/>
            <m:sepChr m:val=""/>
            <m:endChr m:val=")"/>
            <m:grow/>
          </m:dPr>
          <m:e>
            <m:sSub>
              <m:e>
                <m:r>
                  <m:t>L</m:t>
                </m:r>
              </m:e>
              <m:sub>
                <m:r>
                  <m:t>i</m:t>
                </m:r>
              </m:sub>
            </m:sSub>
          </m:e>
        </m:d>
        <m:r>
          <m:rPr>
            <m:sty m:val="p"/>
          </m:rPr>
          <m:t>=</m:t>
        </m:r>
        <m:r>
          <m:rPr>
            <m:sty m:val="p"/>
          </m:rPr>
          <m:t>Pr</m:t>
        </m:r>
        <m:d>
          <m:dPr>
            <m:begChr m:val="["/>
            <m:sepChr m:val=""/>
            <m:endChr m:val="]"/>
            <m:grow/>
          </m:dPr>
          <m:e>
            <m:r>
              <m:t>A</m:t>
            </m:r>
            <m:r>
              <m:rPr>
                <m:sty m:val="p"/>
              </m:rPr>
              <m:t>=</m:t>
            </m:r>
            <m:r>
              <m:t>1</m:t>
            </m:r>
            <m:r>
              <m:rPr>
                <m:sty m:val="p"/>
              </m:rPr>
              <m:t>∣</m:t>
            </m:r>
            <m:r>
              <m:t>L</m:t>
            </m:r>
            <m:r>
              <m:rPr>
                <m:sty m:val="p"/>
              </m:rPr>
              <m:t>=</m:t>
            </m:r>
            <m:sSub>
              <m:e>
                <m:r>
                  <m:t>L</m:t>
                </m:r>
              </m:e>
              <m:sub>
                <m:r>
                  <m:t>i</m:t>
                </m:r>
              </m:sub>
            </m:sSub>
          </m:e>
        </m:d>
      </m:oMath>
      <w:r>
        <w:t xml:space="preserve">.</w:t>
      </w:r>
    </w:p>
    <w:bookmarkEnd w:id="25"/>
    <w:bookmarkStart w:id="26" w:name="balancing-property"/>
    <w:p>
      <w:pPr>
        <w:pStyle w:val="Heading3"/>
      </w:pPr>
      <w:r>
        <w:t xml:space="preserve">2.1 Balancing Property</w:t>
      </w:r>
    </w:p>
    <w:p>
      <w:pPr>
        <w:pStyle w:val="FirstParagraph"/>
      </w:pPr>
      <w:r>
        <w:rPr>
          <w:b/>
          <w:bCs/>
        </w:rPr>
        <w:t xml:space="preserve">Key theorem</w:t>
      </w:r>
      <w:r>
        <w:t xml:space="preserve">: If</w:t>
      </w:r>
      <w:r>
        <w:t xml:space="preserve"> </w:t>
      </w:r>
      <m:oMath>
        <m:sSup>
          <m:e>
            <m:r>
              <m:t>Y</m:t>
            </m:r>
          </m:e>
          <m:sup>
            <m:r>
              <m:t>a</m:t>
            </m:r>
          </m:sup>
        </m:sSup>
        <m:r>
          <m:rPr>
            <m:sty m:val="p"/>
          </m:rPr>
          <m:t>⟂</m:t>
        </m:r>
        <m:r>
          <m:t>​</m:t>
        </m:r>
        <m:r>
          <m:t>​</m:t>
        </m:r>
        <m:r>
          <m:t>​</m:t>
        </m:r>
        <m:r>
          <m:rPr>
            <m:sty m:val="p"/>
          </m:rPr>
          <m:t>⟂</m:t>
        </m:r>
        <m:r>
          <m:t>A</m:t>
        </m:r>
        <m:r>
          <m:rPr>
            <m:sty m:val="p"/>
          </m:rPr>
          <m:t>∣</m:t>
        </m:r>
        <m:r>
          <m:t>L</m:t>
        </m:r>
      </m:oMath>
      <w:r>
        <w:t xml:space="preserve">, then:</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e</m:t>
          </m:r>
          <m:d>
            <m:dPr>
              <m:begChr m:val="("/>
              <m:sepChr m:val=""/>
              <m:endChr m:val=")"/>
              <m:grow/>
            </m:dPr>
            <m:e>
              <m:r>
                <m:t>L</m:t>
              </m:r>
            </m:e>
          </m:d>
        </m:oMath>
      </m:oMathPara>
    </w:p>
    <w:p>
      <w:pPr>
        <w:pStyle w:val="FirstParagraph"/>
      </w:pPr>
      <w:r>
        <w:rPr>
          <w:b/>
          <w:bCs/>
        </w:rPr>
        <w:t xml:space="preserve">Interpretation</w:t>
      </w:r>
      <w:r>
        <w:t xml:space="preserve">: Conditional on the propensity score, treatment assignment is independent of potential outcomes.</w:t>
      </w:r>
    </w:p>
    <w:p>
      <w:pPr>
        <w:pStyle w:val="BodyText"/>
      </w:pPr>
      <w:r>
        <w:rPr>
          <w:b/>
          <w:bCs/>
        </w:rPr>
        <w:t xml:space="preserve">Implication</w:t>
      </w:r>
      <w:r>
        <w:t xml:space="preserve">: We can adjust for confounding by adjusting for the propensity score alone, rather than all components of</w:t>
      </w:r>
      <w:r>
        <w:t xml:space="preserve"> </w:t>
      </w:r>
      <m:oMath>
        <m:r>
          <m:t>L</m:t>
        </m:r>
      </m:oMath>
      <w:r>
        <w:t xml:space="preserve">.</w:t>
      </w:r>
    </w:p>
    <w:p>
      <w:pPr>
        <w:pStyle w:val="BodyText"/>
      </w:pPr>
      <w:r>
        <w:rPr>
          <w:b/>
          <w:bCs/>
        </w:rPr>
        <w:t xml:space="preserve">Why this is useful</w:t>
      </w:r>
      <w:r>
        <w:t xml:space="preserve">:</w:t>
      </w:r>
    </w:p>
    <w:p>
      <w:pPr>
        <w:pStyle w:val="Compact"/>
        <w:numPr>
          <w:ilvl w:val="0"/>
          <w:numId w:val="1005"/>
        </w:numPr>
      </w:pPr>
      <w:r>
        <w:t xml:space="preserve">With many confounders, stratification on</w:t>
      </w:r>
      <w:r>
        <w:t xml:space="preserve"> </w:t>
      </w:r>
      <m:oMath>
        <m:r>
          <m:t>L</m:t>
        </m:r>
      </m:oMath>
      <w:r>
        <w:t xml:space="preserve"> </w:t>
      </w:r>
      <w:r>
        <w:t xml:space="preserve">is difficult (curse of dimensionality)</w:t>
      </w:r>
    </w:p>
    <w:p>
      <w:pPr>
        <w:pStyle w:val="Compact"/>
        <w:numPr>
          <w:ilvl w:val="0"/>
          <w:numId w:val="1005"/>
        </w:numPr>
      </w:pPr>
      <w:r>
        <w:t xml:space="preserve">The propensity score reduces multidimensional</w:t>
      </w:r>
      <w:r>
        <w:t xml:space="preserve"> </w:t>
      </w:r>
      <m:oMath>
        <m:r>
          <m:t>L</m:t>
        </m:r>
      </m:oMath>
      <w:r>
        <w:t xml:space="preserve"> </w:t>
      </w:r>
      <w:r>
        <w:t xml:space="preserve">to a single dimension</w:t>
      </w:r>
    </w:p>
    <w:p>
      <w:pPr>
        <w:pStyle w:val="Compact"/>
        <w:numPr>
          <w:ilvl w:val="0"/>
          <w:numId w:val="1005"/>
        </w:numPr>
      </w:pPr>
      <w:r>
        <w:t xml:space="preserve">We can match, stratify, or weight on</w:t>
      </w:r>
      <w:r>
        <w:t xml:space="preserve"> </w:t>
      </w:r>
      <m:oMath>
        <m:r>
          <m:t>e</m:t>
        </m:r>
        <m:d>
          <m:dPr>
            <m:begChr m:val="("/>
            <m:sepChr m:val=""/>
            <m:endChr m:val=")"/>
            <m:grow/>
          </m:dPr>
          <m:e>
            <m:r>
              <m:t>L</m:t>
            </m:r>
          </m:e>
        </m:d>
      </m:oMath>
      <w:r>
        <w:t xml:space="preserve"> </w:t>
      </w:r>
      <w:r>
        <w:t xml:space="preserve">instead of on the full vector</w:t>
      </w:r>
      <w:r>
        <w:t xml:space="preserve"> </w:t>
      </w:r>
      <m:oMath>
        <m:r>
          <m:t>L</m:t>
        </m:r>
      </m:oMath>
    </w:p>
    <w:p>
      <w:pPr>
        <w:pStyle w:val="FirstParagraph"/>
      </w:pPr>
      <w:r>
        <w:rPr>
          <w:b/>
          <w:bCs/>
        </w:rPr>
        <w:t xml:space="preserve">Important caveat</w:t>
      </w:r>
      <w:r>
        <w:t xml:space="preserve">: This works only if:</w:t>
      </w:r>
    </w:p>
    <w:p>
      <w:pPr>
        <w:pStyle w:val="Compact"/>
        <w:numPr>
          <w:ilvl w:val="0"/>
          <w:numId w:val="1006"/>
        </w:numPr>
      </w:pPr>
      <w:r>
        <w:t xml:space="preserve">The propensity score model is correctly specified</w:t>
      </w:r>
    </w:p>
    <w:p>
      <w:pPr>
        <w:pStyle w:val="Compact"/>
        <w:numPr>
          <w:ilvl w:val="0"/>
          <w:numId w:val="1006"/>
        </w:numPr>
      </w:pPr>
      <w:r>
        <w:t xml:space="preserve">Positivity holds:</w:t>
      </w:r>
      <w:r>
        <w:t xml:space="preserve"> </w:t>
      </w:r>
      <m:oMath>
        <m:r>
          <m:t>0</m:t>
        </m:r>
        <m:r>
          <m:rPr>
            <m:sty m:val="p"/>
          </m:rPr>
          <m:t>&lt;</m:t>
        </m:r>
        <m:r>
          <m:t>e</m:t>
        </m:r>
        <m:d>
          <m:dPr>
            <m:begChr m:val="("/>
            <m:sepChr m:val=""/>
            <m:endChr m:val=")"/>
            <m:grow/>
          </m:dPr>
          <m:e>
            <m:r>
              <m:t>L</m:t>
            </m:r>
          </m:e>
        </m:d>
        <m:r>
          <m:rPr>
            <m:sty m:val="p"/>
          </m:rPr>
          <m:t>&lt;</m:t>
        </m:r>
        <m:r>
          <m:t>1</m:t>
        </m:r>
      </m:oMath>
      <w:r>
        <w:t xml:space="preserve"> </w:t>
      </w:r>
      <w:r>
        <w:t xml:space="preserve">for all</w:t>
      </w:r>
      <w:r>
        <w:t xml:space="preserve"> </w:t>
      </w:r>
      <m:oMath>
        <m:r>
          <m:t>L</m:t>
        </m:r>
      </m:oMath>
      <w:r>
        <w:t xml:space="preserve"> </w:t>
      </w:r>
      <w:r>
        <w:t xml:space="preserve">with</w:t>
      </w:r>
      <w:r>
        <w:t xml:space="preserve"> </w:t>
      </w:r>
      <m:oMath>
        <m:r>
          <m:rPr>
            <m:sty m:val="p"/>
          </m:rPr>
          <m:t>Pr</m:t>
        </m:r>
        <m:d>
          <m:dPr>
            <m:begChr m:val="["/>
            <m:sepChr m:val=""/>
            <m:endChr m:val="]"/>
            <m:grow/>
          </m:dPr>
          <m:e>
            <m:r>
              <m:t>L</m:t>
            </m:r>
          </m:e>
        </m:d>
        <m:r>
          <m:rPr>
            <m:sty m:val="p"/>
          </m:rPr>
          <m:t>&gt;</m:t>
        </m:r>
        <m:r>
          <m:t>0</m:t>
        </m:r>
      </m:oMath>
    </w:p>
    <w:bookmarkEnd w:id="26"/>
    <w:bookmarkStart w:id="27" w:name="estimating-propensity-scores"/>
    <w:p>
      <w:pPr>
        <w:pStyle w:val="Heading3"/>
      </w:pPr>
      <w:r>
        <w:t xml:space="preserve">2.2 Estimating Propensity Scores</w:t>
      </w:r>
    </w:p>
    <w:p>
      <w:pPr>
        <w:pStyle w:val="FirstParagraph"/>
      </w:pPr>
      <w:r>
        <w:rPr>
          <w:b/>
          <w:bCs/>
        </w:rPr>
        <w:t xml:space="preserve">Common approach</w:t>
      </w:r>
      <w:r>
        <w:t xml:space="preserve">: Logistic regression</w:t>
      </w:r>
    </w:p>
    <w:p>
      <w:pPr>
        <w:pStyle w:val="BodyText"/>
      </w:pPr>
      <m:oMathPara>
        <m:oMathParaPr>
          <m:jc m:val="center"/>
        </m:oMathParaPr>
        <m:oMath>
          <m:r>
            <m:rPr>
              <m:nor/>
              <m:sty m:val="p"/>
            </m:rPr>
            <m:t>logit</m:t>
          </m:r>
          <m:r>
            <m:rPr>
              <m:sty m:val="p"/>
            </m:rPr>
            <m:t>Pr</m:t>
          </m:r>
          <m:d>
            <m:dPr>
              <m:begChr m:val="["/>
              <m:sepChr m:val=""/>
              <m:endChr m:val="]"/>
              <m:grow/>
            </m:dPr>
            <m:e>
              <m:r>
                <m:t>A</m:t>
              </m:r>
              <m:r>
                <m:rPr>
                  <m:sty m:val="p"/>
                </m:rPr>
                <m:t>=</m:t>
              </m:r>
              <m:r>
                <m:t>1</m:t>
              </m:r>
              <m:r>
                <m:rPr>
                  <m:sty m:val="p"/>
                </m:rPr>
                <m:t>∣</m:t>
              </m:r>
              <m:r>
                <m:t>L</m:t>
              </m:r>
            </m:e>
          </m:d>
          <m:r>
            <m:rPr>
              <m:sty m:val="p"/>
            </m:rPr>
            <m:t>=</m:t>
          </m:r>
          <m:sSub>
            <m:e>
              <m:r>
                <m:t>α</m:t>
              </m:r>
            </m:e>
            <m:sub>
              <m:r>
                <m:t>0</m:t>
              </m:r>
            </m:sub>
          </m:sSub>
          <m:r>
            <m:rPr>
              <m:sty m:val="p"/>
            </m:rPr>
            <m:t>+</m:t>
          </m:r>
          <m:sSubSup>
            <m:e>
              <m:r>
                <m:t>α</m:t>
              </m:r>
            </m:e>
            <m:sub>
              <m:r>
                <m:t>1</m:t>
              </m:r>
            </m:sub>
            <m:sup>
              <m:r>
                <m:rPr>
                  <m:sty m:val="p"/>
                </m:rPr>
                <m:t>⊤</m:t>
              </m:r>
            </m:sup>
          </m:sSubSup>
          <m:r>
            <m:t>L</m:t>
          </m:r>
        </m:oMath>
      </m:oMathPara>
    </w:p>
    <w:p>
      <w:pPr>
        <w:pStyle w:val="FirstParagraph"/>
      </w:pPr>
      <w:r>
        <w:rPr>
          <w:b/>
          <w:bCs/>
        </w:rPr>
        <w:t xml:space="preserve">Estimation</w:t>
      </w:r>
      <w:r>
        <w:t xml:space="preserve">:</w:t>
      </w:r>
    </w:p>
    <w:p>
      <w:pPr>
        <w:pStyle w:val="Compact"/>
        <w:numPr>
          <w:ilvl w:val="0"/>
          <w:numId w:val="1007"/>
        </w:numPr>
      </w:pPr>
      <w:r>
        <w:t xml:space="preserve">Fit logistic regression with treatment</w:t>
      </w:r>
      <w:r>
        <w:t xml:space="preserve"> </w:t>
      </w:r>
      <m:oMath>
        <m:r>
          <m:t>A</m:t>
        </m:r>
      </m:oMath>
      <w:r>
        <w:t xml:space="preserve"> </w:t>
      </w:r>
      <w:r>
        <w:t xml:space="preserve">as outcome, confounders</w:t>
      </w:r>
      <w:r>
        <w:t xml:space="preserve"> </w:t>
      </w:r>
      <m:oMath>
        <m:r>
          <m:t>L</m:t>
        </m:r>
      </m:oMath>
      <w:r>
        <w:t xml:space="preserve"> </w:t>
      </w:r>
      <w:r>
        <w:t xml:space="preserve">as predictors</w:t>
      </w:r>
    </w:p>
    <w:p>
      <w:pPr>
        <w:pStyle w:val="Compact"/>
        <w:numPr>
          <w:ilvl w:val="0"/>
          <w:numId w:val="1007"/>
        </w:numPr>
      </w:pPr>
      <w:r>
        <w:t xml:space="preserve">Predict</w:t>
      </w:r>
      <w:r>
        <w:t xml:space="preserve"> </w:t>
      </w:r>
      <m:oMath>
        <m:acc>
          <m:accPr>
            <m:chr m:val="̂"/>
          </m:accPr>
          <m:e>
            <m:r>
              <m:t>e</m:t>
            </m:r>
          </m:e>
        </m:acc>
        <m:d>
          <m:dPr>
            <m:begChr m:val="("/>
            <m:sepChr m:val=""/>
            <m:endChr m:val=")"/>
            <m:grow/>
          </m:dPr>
          <m:e>
            <m:sSub>
              <m:e>
                <m:r>
                  <m:t>L</m:t>
                </m:r>
              </m:e>
              <m:sub>
                <m:r>
                  <m:t>i</m:t>
                </m:r>
              </m:sub>
            </m:sSub>
          </m:e>
        </m:d>
        <m:r>
          <m:rPr>
            <m:sty m:val="p"/>
          </m:rPr>
          <m:t>=</m:t>
        </m:r>
        <m:acc>
          <m:accPr>
            <m:chr m:val="̂"/>
          </m:accPr>
          <m:e>
            <m:r>
              <m:rPr>
                <m:sty m:val="p"/>
              </m:rPr>
              <m:t>Pr</m:t>
            </m:r>
          </m:e>
        </m:acc>
        <m:d>
          <m:dPr>
            <m:begChr m:val="["/>
            <m:sepChr m:val=""/>
            <m:endChr m:val="]"/>
            <m:grow/>
          </m:dPr>
          <m:e>
            <m:r>
              <m:t>A</m:t>
            </m:r>
            <m:r>
              <m:rPr>
                <m:sty m:val="p"/>
              </m:rPr>
              <m:t>=</m:t>
            </m:r>
            <m:r>
              <m:t>1</m:t>
            </m:r>
            <m:r>
              <m:rPr>
                <m:sty m:val="p"/>
              </m:rPr>
              <m:t>∣</m:t>
            </m:r>
            <m:sSub>
              <m:e>
                <m:r>
                  <m:t>L</m:t>
                </m:r>
              </m:e>
              <m:sub>
                <m:r>
                  <m:t>i</m:t>
                </m:r>
              </m:sub>
            </m:sSub>
          </m:e>
        </m:d>
      </m:oMath>
      <w:r>
        <w:t xml:space="preserve"> </w:t>
      </w:r>
      <w:r>
        <w:t xml:space="preserve">for each individual</w:t>
      </w:r>
    </w:p>
    <w:p>
      <w:pPr>
        <w:pStyle w:val="Compact"/>
        <w:numPr>
          <w:ilvl w:val="0"/>
          <w:numId w:val="1007"/>
        </w:numPr>
      </w:pPr>
      <w:r>
        <w:t xml:space="preserve">Use</w:t>
      </w:r>
      <w:r>
        <w:t xml:space="preserve"> </w:t>
      </w:r>
      <m:oMath>
        <m:acc>
          <m:accPr>
            <m:chr m:val="̂"/>
          </m:accPr>
          <m:e>
            <m:r>
              <m:t>e</m:t>
            </m:r>
          </m:e>
        </m:acc>
        <m:d>
          <m:dPr>
            <m:begChr m:val="("/>
            <m:sepChr m:val=""/>
            <m:endChr m:val=")"/>
            <m:grow/>
          </m:dPr>
          <m:e>
            <m:sSub>
              <m:e>
                <m:r>
                  <m:t>L</m:t>
                </m:r>
              </m:e>
              <m:sub>
                <m:r>
                  <m:t>i</m:t>
                </m:r>
              </m:sub>
            </m:sSub>
          </m:e>
        </m:d>
      </m:oMath>
      <w:r>
        <w:t xml:space="preserve"> </w:t>
      </w:r>
      <w:r>
        <w:t xml:space="preserve">for matching, stratification, or weighting</w:t>
      </w:r>
    </w:p>
    <w:p>
      <w:pPr>
        <w:pStyle w:val="FirstParagraph"/>
      </w:pPr>
      <w:r>
        <w:rPr>
          <w:b/>
          <w:bCs/>
        </w:rPr>
        <w:t xml:space="preserve">Model selection</w:t>
      </w:r>
      <w:r>
        <w:t xml:space="preserve">:</w:t>
      </w:r>
    </w:p>
    <w:p>
      <w:pPr>
        <w:pStyle w:val="Compact"/>
        <w:numPr>
          <w:ilvl w:val="0"/>
          <w:numId w:val="1008"/>
        </w:numPr>
      </w:pPr>
      <w:r>
        <w:t xml:space="preserve">Include all confounders</w:t>
      </w:r>
    </w:p>
    <w:p>
      <w:pPr>
        <w:pStyle w:val="Compact"/>
        <w:numPr>
          <w:ilvl w:val="0"/>
          <w:numId w:val="1008"/>
        </w:numPr>
      </w:pPr>
      <w:r>
        <w:t xml:space="preserve">Consider interactions and nonlinear terms</w:t>
      </w:r>
    </w:p>
    <w:p>
      <w:pPr>
        <w:pStyle w:val="Compact"/>
        <w:numPr>
          <w:ilvl w:val="0"/>
          <w:numId w:val="1008"/>
        </w:numPr>
      </w:pPr>
      <w:r>
        <w:t xml:space="preserve">Assess balance after adjustment (see Section 15.3)</w:t>
      </w:r>
    </w:p>
    <w:bookmarkEnd w:id="27"/>
    <w:bookmarkEnd w:id="28"/>
    <w:bookmarkStart w:id="32" w:name="X9e1a84b95d31168c640a6f3a9cac4fdac1ebd87"/>
    <w:p>
      <w:pPr>
        <w:pStyle w:val="Heading2"/>
      </w:pPr>
      <w:r>
        <w:t xml:space="preserve">3 15.3 Propensity Stratification and Standardization (pp. 213-216)</w:t>
      </w:r>
    </w:p>
    <w:p>
      <w:r>
        <w:pict>
          <v:rect style="width:0;height:1.5pt" o:hralign="center" o:hrstd="t" o:hr="t"/>
        </w:pict>
      </w:r>
    </w:p>
    <w:p>
      <w:pPr>
        <w:pStyle w:val="FirstParagraph"/>
      </w:pPr>
      <w:r>
        <w:t xml:space="preserve">Propensity scores can be used to stratify the population and then standardize.</w:t>
      </w:r>
    </w:p>
    <w:bookmarkStart w:id="29" w:name="propensity-score-stratification"/>
    <w:p>
      <w:pPr>
        <w:pStyle w:val="Heading3"/>
      </w:pPr>
      <w:r>
        <w:t xml:space="preserve">3.1 Propensity Score Stratification</w:t>
      </w:r>
    </w:p>
    <w:p>
      <w:pPr>
        <w:pStyle w:val="FirstParagraph"/>
      </w:pPr>
      <w:r>
        <w:rPr>
          <w:b/>
          <w:bCs/>
        </w:rPr>
        <w:t xml:space="preserve">Procedure</w:t>
      </w:r>
      <w:r>
        <w:t xml:space="preserve">:</w:t>
      </w:r>
    </w:p>
    <w:p>
      <w:pPr>
        <w:pStyle w:val="Compact"/>
        <w:numPr>
          <w:ilvl w:val="0"/>
          <w:numId w:val="1009"/>
        </w:numPr>
      </w:pPr>
      <w:r>
        <w:t xml:space="preserve">Estimate propensity score</w:t>
      </w:r>
      <w:r>
        <w:t xml:space="preserve"> </w:t>
      </w:r>
      <m:oMath>
        <m:acc>
          <m:accPr>
            <m:chr m:val="̂"/>
          </m:accPr>
          <m:e>
            <m:r>
              <m:t>e</m:t>
            </m:r>
          </m:e>
        </m:acc>
        <m:d>
          <m:dPr>
            <m:begChr m:val="("/>
            <m:sepChr m:val=""/>
            <m:endChr m:val=")"/>
            <m:grow/>
          </m:dPr>
          <m:e>
            <m:sSub>
              <m:e>
                <m:r>
                  <m:t>L</m:t>
                </m:r>
              </m:e>
              <m:sub>
                <m:r>
                  <m:t>i</m:t>
                </m:r>
              </m:sub>
            </m:sSub>
          </m:e>
        </m:d>
      </m:oMath>
      <w:r>
        <w:t xml:space="preserve"> </w:t>
      </w:r>
      <w:r>
        <w:t xml:space="preserve">for all individuals</w:t>
      </w:r>
    </w:p>
    <w:p>
      <w:pPr>
        <w:pStyle w:val="Compact"/>
        <w:numPr>
          <w:ilvl w:val="0"/>
          <w:numId w:val="1009"/>
        </w:numPr>
      </w:pPr>
      <w:r>
        <w:t xml:space="preserve">Create strata (e.g., quintiles) of the propensity score</w:t>
      </w:r>
    </w:p>
    <w:p>
      <w:pPr>
        <w:pStyle w:val="Compact"/>
        <w:numPr>
          <w:ilvl w:val="0"/>
          <w:numId w:val="1009"/>
        </w:numPr>
      </w:pPr>
      <w:r>
        <w:t xml:space="preserve">Within each stratum, compute</w:t>
      </w:r>
      <w:r>
        <w:t xml:space="preserve"> </w:t>
      </w:r>
      <m:oMath>
        <m:acc>
          <m:accPr>
            <m:chr m:val="̂"/>
          </m:accPr>
          <m:e>
            <m:r>
              <m:t>E</m:t>
            </m:r>
          </m:e>
        </m:acc>
        <m:d>
          <m:dPr>
            <m:begChr m:val="["/>
            <m:sepChr m:val=""/>
            <m:endChr m:val="]"/>
            <m:grow/>
          </m:dPr>
          <m:e>
            <m:r>
              <m:t>Y</m:t>
            </m:r>
            <m:r>
              <m:rPr>
                <m:sty m:val="p"/>
              </m:rPr>
              <m:t>∣</m:t>
            </m:r>
            <m:r>
              <m:t>A</m:t>
            </m:r>
            <m:r>
              <m:rPr>
                <m:sty m:val="p"/>
              </m:rPr>
              <m:t>=</m:t>
            </m:r>
            <m:r>
              <m:t>a</m:t>
            </m:r>
            <m:r>
              <m:rPr>
                <m:sty m:val="p"/>
              </m:rPr>
              <m:t>,</m:t>
            </m:r>
            <m:r>
              <m:rPr>
                <m:nor/>
                <m:sty m:val="p"/>
              </m:rPr>
              <m:t>stratum </m:t>
            </m:r>
            <m:r>
              <m:t>s</m:t>
            </m:r>
          </m:e>
        </m:d>
      </m:oMath>
    </w:p>
    <w:p>
      <w:pPr>
        <w:pStyle w:val="Compact"/>
        <w:numPr>
          <w:ilvl w:val="0"/>
          <w:numId w:val="1009"/>
        </w:numPr>
      </w:pPr>
      <w:r>
        <w:t xml:space="preserve">Standardize across strata:</w:t>
      </w:r>
    </w:p>
    <w:p>
      <w:pPr>
        <w:pStyle w:val="FirstParagraph"/>
      </w:pPr>
      <m:oMathPara>
        <m:oMathParaPr>
          <m:jc m:val="center"/>
        </m:oMathParaPr>
        <m:oMath>
          <m:acc>
            <m:accPr>
              <m:chr m:val="̂"/>
            </m:accPr>
            <m:e>
              <m:r>
                <m:t>E</m:t>
              </m:r>
            </m:e>
          </m:acc>
          <m:d>
            <m:dPr>
              <m:begChr m:val="["/>
              <m:sepChr m:val=""/>
              <m:endChr m:val="]"/>
              <m:grow/>
            </m:dPr>
            <m:e>
              <m:sSup>
                <m:e>
                  <m:r>
                    <m:t>Y</m:t>
                  </m:r>
                </m:e>
                <m:sup>
                  <m:r>
                    <m:t>a</m:t>
                  </m:r>
                </m:sup>
              </m:sSup>
            </m:e>
          </m:d>
          <m:r>
            <m:rPr>
              <m:sty m:val="p"/>
            </m:rPr>
            <m:t>=</m:t>
          </m:r>
          <m:nary>
            <m:naryPr>
              <m:chr m:val="∑"/>
              <m:limLoc m:val="undOvr"/>
              <m:subHide m:val="off"/>
              <m:supHide m:val="off"/>
            </m:naryPr>
            <m:sub>
              <m:r>
                <m:t>s</m:t>
              </m:r>
              <m:r>
                <m:rPr>
                  <m:sty m:val="p"/>
                </m:rPr>
                <m:t>=</m:t>
              </m:r>
              <m:r>
                <m:t>1</m:t>
              </m:r>
            </m:sub>
            <m:sup>
              <m:r>
                <m:t>S</m:t>
              </m:r>
            </m:sup>
            <m:e>
              <m:acc>
                <m:accPr>
                  <m:chr m:val="̂"/>
                </m:accPr>
                <m:e>
                  <m:r>
                    <m:t>E</m:t>
                  </m:r>
                </m:e>
              </m:acc>
            </m:e>
          </m:nary>
          <m:d>
            <m:dPr>
              <m:begChr m:val="["/>
              <m:sepChr m:val=""/>
              <m:endChr m:val="]"/>
              <m:grow/>
            </m:dPr>
            <m:e>
              <m:r>
                <m:t>Y</m:t>
              </m:r>
              <m:r>
                <m:rPr>
                  <m:sty m:val="p"/>
                </m:rPr>
                <m:t>∣</m:t>
              </m:r>
              <m:r>
                <m:t>A</m:t>
              </m:r>
              <m:r>
                <m:rPr>
                  <m:sty m:val="p"/>
                </m:rPr>
                <m:t>=</m:t>
              </m:r>
              <m:r>
                <m:t>a</m:t>
              </m:r>
              <m:r>
                <m:rPr>
                  <m:sty m:val="p"/>
                </m:rPr>
                <m:t>,</m:t>
              </m:r>
              <m:r>
                <m:rPr>
                  <m:nor/>
                  <m:sty m:val="p"/>
                </m:rPr>
                <m:t>stratum </m:t>
              </m:r>
              <m:r>
                <m:t>s</m:t>
              </m:r>
            </m:e>
          </m:d>
          <m:r>
            <m:rPr>
              <m:sty m:val="p"/>
            </m:rPr>
            <m:t>×</m:t>
          </m:r>
          <m:r>
            <m:rPr>
              <m:sty m:val="p"/>
            </m:rPr>
            <m:t>Pr</m:t>
          </m:r>
          <m:d>
            <m:dPr>
              <m:begChr m:val="["/>
              <m:sepChr m:val=""/>
              <m:endChr m:val="]"/>
              <m:grow/>
            </m:dPr>
            <m:e>
              <m:r>
                <m:rPr>
                  <m:nor/>
                  <m:sty m:val="p"/>
                </m:rPr>
                <m:t>stratum </m:t>
              </m:r>
              <m:r>
                <m:t>s</m:t>
              </m:r>
            </m:e>
          </m:d>
        </m:oMath>
      </m:oMathPara>
    </w:p>
    <w:bookmarkEnd w:id="29"/>
    <w:bookmarkStart w:id="30" w:name="checking-balance"/>
    <w:p>
      <w:pPr>
        <w:pStyle w:val="Heading3"/>
      </w:pPr>
      <w:r>
        <w:t xml:space="preserve">3.2 Checking Balance</w:t>
      </w:r>
    </w:p>
    <w:p>
      <w:pPr>
        <w:pStyle w:val="FirstParagraph"/>
      </w:pPr>
      <w:r>
        <w:t xml:space="preserve">After stratification, check whether confounders are balanced within strata:</w:t>
      </w:r>
    </w:p>
    <w:p>
      <w:pPr>
        <w:pStyle w:val="BodyText"/>
      </w:pPr>
      <w:r>
        <w:rPr>
          <w:b/>
          <w:bCs/>
        </w:rPr>
        <w:t xml:space="preserve">Balance</w:t>
      </w:r>
      <w:r>
        <w:t xml:space="preserve">: Within stratum</w:t>
      </w:r>
      <w:r>
        <w:t xml:space="preserve"> </w:t>
      </w:r>
      <m:oMath>
        <m:r>
          <m:t>s</m:t>
        </m:r>
      </m:oMath>
      <w:r>
        <w:t xml:space="preserve">, the distribution of</w:t>
      </w:r>
      <w:r>
        <w:t xml:space="preserve"> </w:t>
      </w:r>
      <m:oMath>
        <m:r>
          <m:t>L</m:t>
        </m:r>
      </m:oMath>
      <w:r>
        <w:t xml:space="preserve"> </w:t>
      </w:r>
      <w:r>
        <w:t xml:space="preserve">should be similar for treated and untreated.</w:t>
      </w:r>
    </w:p>
    <w:p>
      <w:pPr>
        <w:pStyle w:val="BodyText"/>
      </w:pPr>
      <w:r>
        <w:rPr>
          <w:b/>
          <w:bCs/>
        </w:rPr>
        <w:t xml:space="preserve">Diagnostics</w:t>
      </w:r>
      <w:r>
        <w:t xml:space="preserve">:</w:t>
      </w:r>
    </w:p>
    <w:p>
      <w:pPr>
        <w:pStyle w:val="Compact"/>
        <w:numPr>
          <w:ilvl w:val="0"/>
          <w:numId w:val="1010"/>
        </w:numPr>
      </w:pPr>
      <w:r>
        <w:t xml:space="preserve">Compare means/proportions of</w:t>
      </w:r>
      <w:r>
        <w:t xml:space="preserve"> </w:t>
      </w:r>
      <m:oMath>
        <m:r>
          <m:t>L</m:t>
        </m:r>
      </m:oMath>
      <w:r>
        <w:t xml:space="preserve"> </w:t>
      </w:r>
      <w:r>
        <w:t xml:space="preserve">across treatment groups within strata</w:t>
      </w:r>
    </w:p>
    <w:p>
      <w:pPr>
        <w:pStyle w:val="Compact"/>
        <w:numPr>
          <w:ilvl w:val="0"/>
          <w:numId w:val="1010"/>
        </w:numPr>
      </w:pPr>
      <w:r>
        <w:t xml:space="preserve">Standardized differences:</w:t>
      </w:r>
      <w:r>
        <w:t xml:space="preserve"> </w:t>
      </w:r>
      <m:oMath>
        <m:f>
          <m:fPr>
            <m:type m:val="bar"/>
          </m:fPr>
          <m:num>
            <m:sSub>
              <m:e>
                <m:acc>
                  <m:accPr>
                    <m:chr m:val="‾"/>
                  </m:accPr>
                  <m:e>
                    <m:r>
                      <m:t>L</m:t>
                    </m:r>
                  </m:e>
                </m:acc>
              </m:e>
              <m:sub>
                <m:r>
                  <m:t>A</m:t>
                </m:r>
                <m:r>
                  <m:rPr>
                    <m:sty m:val="p"/>
                  </m:rPr>
                  <m:t>=</m:t>
                </m:r>
                <m:r>
                  <m:t>1</m:t>
                </m:r>
                <m:r>
                  <m:rPr>
                    <m:sty m:val="p"/>
                  </m:rPr>
                  <m:t>,</m:t>
                </m:r>
                <m:r>
                  <m:t>s</m:t>
                </m:r>
              </m:sub>
            </m:sSub>
            <m:r>
              <m:rPr>
                <m:sty m:val="p"/>
              </m:rPr>
              <m:t>−</m:t>
            </m:r>
            <m:sSub>
              <m:e>
                <m:acc>
                  <m:accPr>
                    <m:chr m:val="‾"/>
                  </m:accPr>
                  <m:e>
                    <m:r>
                      <m:t>L</m:t>
                    </m:r>
                  </m:e>
                </m:acc>
              </m:e>
              <m:sub>
                <m:r>
                  <m:t>A</m:t>
                </m:r>
                <m:r>
                  <m:rPr>
                    <m:sty m:val="p"/>
                  </m:rPr>
                  <m:t>=</m:t>
                </m:r>
                <m:r>
                  <m:t>0</m:t>
                </m:r>
                <m:r>
                  <m:rPr>
                    <m:sty m:val="p"/>
                  </m:rPr>
                  <m:t>,</m:t>
                </m:r>
                <m:r>
                  <m:t>s</m:t>
                </m:r>
              </m:sub>
            </m:sSub>
          </m:num>
          <m:den>
            <m:r>
              <m:t>S</m:t>
            </m:r>
            <m:sSub>
              <m:e>
                <m:r>
                  <m:t>D</m:t>
                </m:r>
              </m:e>
              <m:sub>
                <m:r>
                  <m:rPr>
                    <m:nor/>
                    <m:sty m:val="p"/>
                  </m:rPr>
                  <m:t>pooled</m:t>
                </m:r>
              </m:sub>
            </m:sSub>
          </m:den>
        </m:f>
      </m:oMath>
    </w:p>
    <w:p>
      <w:pPr>
        <w:pStyle w:val="Compact"/>
        <w:numPr>
          <w:ilvl w:val="0"/>
          <w:numId w:val="1010"/>
        </w:numPr>
      </w:pPr>
      <w:r>
        <w:t xml:space="preserve">Target: Standardized differences &lt; 0.1 (rule of thumb)</w:t>
      </w:r>
    </w:p>
    <w:p>
      <w:pPr>
        <w:pStyle w:val="FirstParagraph"/>
      </w:pPr>
      <w:r>
        <w:t xml:space="preserve">If balance is poor, refine the propensity score model (add interactions, polynomials, etc.).</w:t>
      </w:r>
    </w:p>
    <w:p>
      <w:pPr>
        <w:pStyle w:val="BodyText"/>
      </w:pPr>
      <w:r>
        <w:rPr>
          <w:b/>
          <w:bCs/>
        </w:rPr>
        <w:t xml:space="preserve">Why check balance</w:t>
      </w:r>
      <w:r>
        <w:t xml:space="preserve">:</w:t>
      </w:r>
    </w:p>
    <w:p>
      <w:pPr>
        <w:pStyle w:val="BodyText"/>
      </w:pPr>
      <w:r>
        <w:t xml:space="preserve">The propensity score should create</w:t>
      </w:r>
      <w:r>
        <w:t xml:space="preserve"> </w:t>
      </w:r>
      <w:r>
        <w:t xml:space="preserve">“pseudo-randomization”</w:t>
      </w:r>
      <w:r>
        <w:t xml:space="preserve"> </w:t>
      </w:r>
      <w:r>
        <w:t xml:space="preserve">within strata. If confounders aren’t balanced, either:</w:t>
      </w:r>
    </w:p>
    <w:p>
      <w:pPr>
        <w:pStyle w:val="Compact"/>
        <w:numPr>
          <w:ilvl w:val="0"/>
          <w:numId w:val="1011"/>
        </w:numPr>
      </w:pPr>
      <w:r>
        <w:t xml:space="preserve">The propensity score model is misspecified</w:t>
      </w:r>
    </w:p>
    <w:p>
      <w:pPr>
        <w:pStyle w:val="Compact"/>
        <w:numPr>
          <w:ilvl w:val="0"/>
          <w:numId w:val="1011"/>
        </w:numPr>
      </w:pPr>
      <w:r>
        <w:t xml:space="preserve">There are violations of positivity (some strata have only treated or only untreated)</w:t>
      </w:r>
    </w:p>
    <w:p>
      <w:pPr>
        <w:pStyle w:val="FirstParagraph"/>
      </w:pPr>
      <w:r>
        <w:t xml:space="preserve">Balance checking is a diagnostic tool, not a formal test. The goal is to achieve good balance so that confounding is minimized within strata.</w:t>
      </w:r>
    </w:p>
    <w:bookmarkEnd w:id="30"/>
    <w:bookmarkStart w:id="31" w:name="example-quintile-stratification"/>
    <w:p>
      <w:pPr>
        <w:pStyle w:val="Heading3"/>
      </w:pPr>
      <w:r>
        <w:t xml:space="preserve">3.3 Example: Quintile Stratification</w:t>
      </w:r>
    </w:p>
    <w:p>
      <w:pPr>
        <w:pStyle w:val="FirstParagraph"/>
      </w:pPr>
      <w:r>
        <w:rPr>
          <w:b/>
          <w:bCs/>
        </w:rPr>
        <w:t xml:space="preserve">Steps</w:t>
      </w:r>
      <w:r>
        <w:t xml:space="preserve">:</w:t>
      </w:r>
    </w:p>
    <w:p>
      <w:pPr>
        <w:pStyle w:val="Compact"/>
        <w:numPr>
          <w:ilvl w:val="0"/>
          <w:numId w:val="1012"/>
        </w:numPr>
      </w:pPr>
      <w:r>
        <w:t xml:space="preserve">Fit logistic regression for</w:t>
      </w:r>
      <w:r>
        <w:t xml:space="preserve"> </w:t>
      </w:r>
      <m:oMath>
        <m:r>
          <m:rPr>
            <m:sty m:val="p"/>
          </m:rPr>
          <m:t>Pr</m:t>
        </m:r>
        <m:d>
          <m:dPr>
            <m:begChr m:val="["/>
            <m:sepChr m:val=""/>
            <m:endChr m:val="]"/>
            <m:grow/>
          </m:dPr>
          <m:e>
            <m:r>
              <m:t>A</m:t>
            </m:r>
            <m:r>
              <m:rPr>
                <m:sty m:val="p"/>
              </m:rPr>
              <m:t>=</m:t>
            </m:r>
            <m:r>
              <m:t>1</m:t>
            </m:r>
            <m:r>
              <m:rPr>
                <m:sty m:val="p"/>
              </m:rPr>
              <m:t>∣</m:t>
            </m:r>
            <m:r>
              <m:t>L</m:t>
            </m:r>
          </m:e>
        </m:d>
      </m:oMath>
    </w:p>
    <w:p>
      <w:pPr>
        <w:pStyle w:val="Compact"/>
        <w:numPr>
          <w:ilvl w:val="0"/>
          <w:numId w:val="1012"/>
        </w:numPr>
      </w:pPr>
      <w:r>
        <w:t xml:space="preserve">Divide individuals into 5 groups (quintiles) based on</w:t>
      </w:r>
      <w:r>
        <w:t xml:space="preserve"> </w:t>
      </w:r>
      <m:oMath>
        <m:acc>
          <m:accPr>
            <m:chr m:val="̂"/>
          </m:accPr>
          <m:e>
            <m:r>
              <m:t>e</m:t>
            </m:r>
          </m:e>
        </m:acc>
        <m:d>
          <m:dPr>
            <m:begChr m:val="("/>
            <m:sepChr m:val=""/>
            <m:endChr m:val=")"/>
            <m:grow/>
          </m:dPr>
          <m:e>
            <m:r>
              <m:t>L</m:t>
            </m:r>
          </m:e>
        </m:d>
      </m:oMath>
    </w:p>
    <w:p>
      <w:pPr>
        <w:pStyle w:val="Compact"/>
        <w:numPr>
          <w:ilvl w:val="0"/>
          <w:numId w:val="1012"/>
        </w:numPr>
      </w:pPr>
      <w:r>
        <w:t xml:space="preserve">Within each quintile, compare treated vs untreated outcomes</w:t>
      </w:r>
    </w:p>
    <w:p>
      <w:pPr>
        <w:pStyle w:val="Compact"/>
        <w:numPr>
          <w:ilvl w:val="0"/>
          <w:numId w:val="1012"/>
        </w:numPr>
      </w:pPr>
      <w:r>
        <w:t xml:space="preserve">Standardize across quintiles using quintile proportions as weights</w:t>
      </w:r>
    </w:p>
    <w:p>
      <w:pPr>
        <w:pStyle w:val="FirstParagraph"/>
      </w:pPr>
      <w:r>
        <w:rPr>
          <w:b/>
          <w:bCs/>
        </w:rPr>
        <w:t xml:space="preserve">Common finding</w:t>
      </w:r>
      <w:r>
        <w:t xml:space="preserve">: Most of the confounding is removed by stratifying on propensity score quintiles, though finer stratification may improve balance.</w:t>
      </w:r>
    </w:p>
    <w:bookmarkEnd w:id="31"/>
    <w:bookmarkEnd w:id="32"/>
    <w:bookmarkStart w:id="36" w:name="propensity-matching-pp.-216-219"/>
    <w:p>
      <w:pPr>
        <w:pStyle w:val="Heading2"/>
      </w:pPr>
      <w:r>
        <w:t xml:space="preserve">4 15.4 Propensity Matching (pp. 216-219)</w:t>
      </w:r>
    </w:p>
    <w:p>
      <w:r>
        <w:pict>
          <v:rect style="width:0;height:1.5pt" o:hralign="center" o:hrstd="t" o:hr="t"/>
        </w:pict>
      </w:r>
    </w:p>
    <w:p>
      <w:pPr>
        <w:pStyle w:val="FirstParagraph"/>
      </w:pPr>
      <w:r>
        <w:rPr>
          <w:b/>
          <w:bCs/>
        </w:rPr>
        <w:t xml:space="preserve">Propensity score matching</w:t>
      </w:r>
      <w:r>
        <w:t xml:space="preserve"> </w:t>
      </w:r>
      <w:r>
        <w:t xml:space="preserve">creates pairs (or sets) of treated and untreated individuals with similar propensity scores.</w:t>
      </w:r>
    </w:p>
    <w:bookmarkStart w:id="33" w:name="matching-algorithms"/>
    <w:p>
      <w:pPr>
        <w:pStyle w:val="Heading3"/>
      </w:pPr>
      <w:r>
        <w:t xml:space="preserve">4.1 Matching Algorithms</w:t>
      </w:r>
    </w:p>
    <w:p>
      <w:pPr>
        <w:pStyle w:val="FirstParagraph"/>
      </w:pPr>
      <w:r>
        <w:rPr>
          <w:b/>
          <w:bCs/>
        </w:rPr>
        <w:t xml:space="preserve">1-to-1 nearest neighbor matching</w:t>
      </w:r>
      <w:r>
        <w:t xml:space="preserve">:</w:t>
      </w:r>
    </w:p>
    <w:p>
      <w:pPr>
        <w:pStyle w:val="Compact"/>
        <w:numPr>
          <w:ilvl w:val="0"/>
          <w:numId w:val="1013"/>
        </w:numPr>
      </w:pPr>
      <w:r>
        <w:t xml:space="preserve">For each treated individual, find the untreated individual with the closest propensity score</w:t>
      </w:r>
    </w:p>
    <w:p>
      <w:pPr>
        <w:pStyle w:val="Compact"/>
        <w:numPr>
          <w:ilvl w:val="0"/>
          <w:numId w:val="1013"/>
        </w:numPr>
      </w:pPr>
      <w:r>
        <w:t xml:space="preserve">Form matched pairs</w:t>
      </w:r>
    </w:p>
    <w:p>
      <w:pPr>
        <w:pStyle w:val="Compact"/>
        <w:numPr>
          <w:ilvl w:val="0"/>
          <w:numId w:val="1013"/>
        </w:numPr>
      </w:pPr>
      <w:r>
        <w:t xml:space="preserve">Compute the effect as the average within-pair difference</w:t>
      </w:r>
    </w:p>
    <w:p>
      <w:pPr>
        <w:pStyle w:val="FirstParagraph"/>
      </w:pPr>
      <w:r>
        <w:rPr>
          <w:b/>
          <w:bCs/>
        </w:rPr>
        <w:t xml:space="preserve">Matching with replacement</w:t>
      </w:r>
      <w:r>
        <w:t xml:space="preserve">:</w:t>
      </w:r>
    </w:p>
    <w:p>
      <w:pPr>
        <w:pStyle w:val="Compact"/>
        <w:numPr>
          <w:ilvl w:val="0"/>
          <w:numId w:val="1014"/>
        </w:numPr>
      </w:pPr>
      <w:r>
        <w:t xml:space="preserve">Each untreated individual can be matched to multiple treated individuals</w:t>
      </w:r>
    </w:p>
    <w:p>
      <w:pPr>
        <w:pStyle w:val="Compact"/>
        <w:numPr>
          <w:ilvl w:val="0"/>
          <w:numId w:val="1014"/>
        </w:numPr>
      </w:pPr>
      <w:r>
        <w:t xml:space="preserve">Reduces bias but complicates variance estimation</w:t>
      </w:r>
    </w:p>
    <w:p>
      <w:pPr>
        <w:pStyle w:val="FirstParagraph"/>
      </w:pPr>
      <w:r>
        <w:rPr>
          <w:b/>
          <w:bCs/>
        </w:rPr>
        <w:t xml:space="preserve">Caliper matching</w:t>
      </w:r>
      <w:r>
        <w:t xml:space="preserve">:</w:t>
      </w:r>
    </w:p>
    <w:p>
      <w:pPr>
        <w:pStyle w:val="Compact"/>
        <w:numPr>
          <w:ilvl w:val="0"/>
          <w:numId w:val="1015"/>
        </w:numPr>
      </w:pPr>
      <w:r>
        <w:t xml:space="preserve">Only match if propensity scores are within a specified distance (caliper)</w:t>
      </w:r>
    </w:p>
    <w:p>
      <w:pPr>
        <w:pStyle w:val="Compact"/>
        <w:numPr>
          <w:ilvl w:val="0"/>
          <w:numId w:val="1015"/>
        </w:numPr>
      </w:pPr>
      <w:r>
        <w:t xml:space="preserve">Individuals without a close match are excluded</w:t>
      </w:r>
    </w:p>
    <w:p>
      <w:pPr>
        <w:pStyle w:val="Compact"/>
        <w:numPr>
          <w:ilvl w:val="0"/>
          <w:numId w:val="1015"/>
        </w:numPr>
      </w:pPr>
      <w:r>
        <w:t xml:space="preserve">Improves balance but may reduce sample size</w:t>
      </w:r>
    </w:p>
    <w:p>
      <w:pPr>
        <w:pStyle w:val="FirstParagraph"/>
      </w:pPr>
      <w:r>
        <w:rPr>
          <w:b/>
          <w:bCs/>
        </w:rPr>
        <w:t xml:space="preserve">Matching vs Stratification</w:t>
      </w:r>
      <w:r>
        <w:t xml:space="preserve">:</w:t>
      </w:r>
    </w:p>
    <w:p>
      <w:pPr>
        <w:pStyle w:val="Compact"/>
        <w:numPr>
          <w:ilvl w:val="0"/>
          <w:numId w:val="1016"/>
        </w:numPr>
      </w:pPr>
      <w:r>
        <w:rPr>
          <w:b/>
          <w:bCs/>
        </w:rPr>
        <w:t xml:space="preserve">Matching</w:t>
      </w:r>
      <w:r>
        <w:t xml:space="preserve">: Creates a matched dataset; analyze as if randomized within pairs</w:t>
      </w:r>
    </w:p>
    <w:p>
      <w:pPr>
        <w:pStyle w:val="Compact"/>
        <w:numPr>
          <w:ilvl w:val="0"/>
          <w:numId w:val="1016"/>
        </w:numPr>
      </w:pPr>
      <w:r>
        <w:rPr>
          <w:b/>
          <w:bCs/>
        </w:rPr>
        <w:t xml:space="preserve">Stratification</w:t>
      </w:r>
      <w:r>
        <w:t xml:space="preserve">: Creates strata; standardize across strata</w:t>
      </w:r>
    </w:p>
    <w:p>
      <w:pPr>
        <w:pStyle w:val="FirstParagraph"/>
      </w:pPr>
      <w:r>
        <w:t xml:space="preserve">Both use the propensity score to reduce confounding. Matching may be more intuitive and allows visual inspection of matched pairs.</w:t>
      </w:r>
    </w:p>
    <w:p>
      <w:pPr>
        <w:pStyle w:val="BodyText"/>
      </w:pPr>
      <w:r>
        <w:rPr>
          <w:b/>
          <w:bCs/>
        </w:rPr>
        <w:t xml:space="preserve">Limitations</w:t>
      </w:r>
      <w:r>
        <w:t xml:space="preserve">:</w:t>
      </w:r>
    </w:p>
    <w:p>
      <w:pPr>
        <w:pStyle w:val="Compact"/>
        <w:numPr>
          <w:ilvl w:val="0"/>
          <w:numId w:val="1017"/>
        </w:numPr>
      </w:pPr>
      <w:r>
        <w:t xml:space="preserve">Discards unmatched individuals (efficiency loss)</w:t>
      </w:r>
    </w:p>
    <w:p>
      <w:pPr>
        <w:pStyle w:val="Compact"/>
        <w:numPr>
          <w:ilvl w:val="0"/>
          <w:numId w:val="1017"/>
        </w:numPr>
      </w:pPr>
      <w:r>
        <w:t xml:space="preserve">Complex variance estimation (pairs are dependent)</w:t>
      </w:r>
    </w:p>
    <w:p>
      <w:pPr>
        <w:pStyle w:val="Compact"/>
        <w:numPr>
          <w:ilvl w:val="0"/>
          <w:numId w:val="1017"/>
        </w:numPr>
      </w:pPr>
      <w:r>
        <w:t xml:space="preserve">Exact matching on propensity score is impossible (continuous variable)</w:t>
      </w:r>
    </w:p>
    <w:bookmarkEnd w:id="33"/>
    <w:bookmarkStart w:id="34" w:name="assessing-match-quality"/>
    <w:p>
      <w:pPr>
        <w:pStyle w:val="Heading3"/>
      </w:pPr>
      <w:r>
        <w:t xml:space="preserve">4.2 Assessing Match Quality</w:t>
      </w:r>
    </w:p>
    <w:p>
      <w:pPr>
        <w:pStyle w:val="FirstParagraph"/>
      </w:pPr>
      <w:r>
        <w:t xml:space="preserve">After matching, assess balance:</w:t>
      </w:r>
    </w:p>
    <w:p>
      <w:pPr>
        <w:pStyle w:val="Compact"/>
        <w:numPr>
          <w:ilvl w:val="0"/>
          <w:numId w:val="1018"/>
        </w:numPr>
      </w:pPr>
      <w:r>
        <w:rPr>
          <w:b/>
          <w:bCs/>
        </w:rPr>
        <w:t xml:space="preserve">Standardized differences</w:t>
      </w:r>
      <w:r>
        <w:t xml:space="preserve">: Compare means of</w:t>
      </w:r>
      <w:r>
        <w:t xml:space="preserve"> </w:t>
      </w:r>
      <m:oMath>
        <m:r>
          <m:t>L</m:t>
        </m:r>
      </m:oMath>
      <w:r>
        <w:t xml:space="preserve"> </w:t>
      </w:r>
      <w:r>
        <w:t xml:space="preserve">in matched treated vs untreated</w:t>
      </w:r>
    </w:p>
    <w:p>
      <w:pPr>
        <w:pStyle w:val="Compact"/>
        <w:numPr>
          <w:ilvl w:val="0"/>
          <w:numId w:val="1018"/>
        </w:numPr>
      </w:pPr>
      <w:r>
        <w:rPr>
          <w:b/>
          <w:bCs/>
        </w:rPr>
        <w:t xml:space="preserve">Love plots</w:t>
      </w:r>
      <w:r>
        <w:t xml:space="preserve">: Graphical display of standardized differences before and after matching</w:t>
      </w:r>
    </w:p>
    <w:p>
      <w:pPr>
        <w:pStyle w:val="Compact"/>
        <w:numPr>
          <w:ilvl w:val="0"/>
          <w:numId w:val="1018"/>
        </w:numPr>
      </w:pPr>
      <w:r>
        <w:rPr>
          <w:b/>
          <w:bCs/>
        </w:rPr>
        <w:t xml:space="preserve">Distribution plots</w:t>
      </w:r>
      <w:r>
        <w:t xml:space="preserve">: Compare distributions of confounders in matched samples</w:t>
      </w:r>
    </w:p>
    <w:p>
      <w:pPr>
        <w:pStyle w:val="FirstParagraph"/>
      </w:pPr>
      <w:r>
        <w:rPr>
          <w:b/>
          <w:bCs/>
        </w:rPr>
        <w:t xml:space="preserve">Target</w:t>
      </w:r>
      <w:r>
        <w:t xml:space="preserve">: Standardized differences &lt; 0.1 for all confounders</w:t>
      </w:r>
    </w:p>
    <w:bookmarkEnd w:id="34"/>
    <w:bookmarkStart w:id="35" w:name="example-nhefs-matching"/>
    <w:p>
      <w:pPr>
        <w:pStyle w:val="Heading3"/>
      </w:pPr>
      <w:r>
        <w:t xml:space="preserve">4.3 Example: NHEFS Matching</w:t>
      </w:r>
    </w:p>
    <w:p>
      <w:pPr>
        <w:pStyle w:val="FirstParagraph"/>
      </w:pPr>
      <w:r>
        <w:rPr>
          <w:b/>
          <w:bCs/>
        </w:rPr>
        <w:t xml:space="preserve">Procedure</w:t>
      </w:r>
      <w:r>
        <w:t xml:space="preserve">:</w:t>
      </w:r>
    </w:p>
    <w:p>
      <w:pPr>
        <w:pStyle w:val="Compact"/>
        <w:numPr>
          <w:ilvl w:val="0"/>
          <w:numId w:val="1019"/>
        </w:numPr>
      </w:pPr>
      <w:r>
        <w:t xml:space="preserve">Estimate propensity score for quitting smoking</w:t>
      </w:r>
    </w:p>
    <w:p>
      <w:pPr>
        <w:pStyle w:val="Compact"/>
        <w:numPr>
          <w:ilvl w:val="0"/>
          <w:numId w:val="1019"/>
        </w:numPr>
      </w:pPr>
      <w:r>
        <w:t xml:space="preserve">Match each quitter to a non-quitter with similar propensity score</w:t>
      </w:r>
    </w:p>
    <w:p>
      <w:pPr>
        <w:pStyle w:val="Compact"/>
        <w:numPr>
          <w:ilvl w:val="0"/>
          <w:numId w:val="1019"/>
        </w:numPr>
      </w:pPr>
      <w:r>
        <w:t xml:space="preserve">In matched sample, compare weight change between quitters and non-quitters</w:t>
      </w:r>
    </w:p>
    <w:p>
      <w:pPr>
        <w:pStyle w:val="Compact"/>
        <w:numPr>
          <w:ilvl w:val="0"/>
          <w:numId w:val="1019"/>
        </w:numPr>
      </w:pPr>
      <w:r>
        <w:t xml:space="preserve">Estimate causal effect as mean difference in matched pairs</w:t>
      </w:r>
    </w:p>
    <w:p>
      <w:pPr>
        <w:pStyle w:val="FirstParagraph"/>
      </w:pPr>
      <w:r>
        <w:rPr>
          <w:b/>
          <w:bCs/>
        </w:rPr>
        <w:t xml:space="preserve">Advantages</w:t>
      </w:r>
      <w:r>
        <w:t xml:space="preserve">: Intuitive, allows checking balance on all confounders</w:t>
      </w:r>
    </w:p>
    <w:p>
      <w:pPr>
        <w:pStyle w:val="BodyText"/>
      </w:pPr>
      <w:r>
        <w:rPr>
          <w:b/>
          <w:bCs/>
        </w:rPr>
        <w:t xml:space="preserve">Disadvantages</w:t>
      </w:r>
      <w:r>
        <w:t xml:space="preserve">: Discards some individuals, may not achieve perfect balance</w:t>
      </w:r>
    </w:p>
    <w:bookmarkEnd w:id="35"/>
    <w:bookmarkEnd w:id="36"/>
    <w:bookmarkStart w:id="39" w:name="X924c4ddf278e07135412d648697e34e657399d3"/>
    <w:p>
      <w:pPr>
        <w:pStyle w:val="Heading2"/>
      </w:pPr>
      <w:r>
        <w:t xml:space="preserve">5 15.5 Propensity Models, Treatment Models, and Marginal Structural Models (pp. 219-222)</w:t>
      </w:r>
    </w:p>
    <w:p>
      <w:r>
        <w:pict>
          <v:rect style="width:0;height:1.5pt" o:hralign="center" o:hrstd="t" o:hr="t"/>
        </w:pict>
      </w:r>
    </w:p>
    <w:p>
      <w:pPr>
        <w:pStyle w:val="FirstParagraph"/>
      </w:pPr>
      <w:r>
        <w:t xml:space="preserve">Clarifying terminology: propensity scores, treatment models, and MSMs.</w:t>
      </w:r>
    </w:p>
    <w:bookmarkStart w:id="37" w:name="definitions"/>
    <w:p>
      <w:pPr>
        <w:pStyle w:val="Heading3"/>
      </w:pPr>
      <w:r>
        <w:t xml:space="preserve">5.1 Definitions</w:t>
      </w:r>
    </w:p>
    <w:p>
      <w:pPr>
        <w:pStyle w:val="FirstParagraph"/>
      </w:pPr>
      <w:r>
        <w:rPr>
          <w:b/>
          <w:bCs/>
        </w:rPr>
        <w:t xml:space="preserve">Propensity score</w:t>
      </w:r>
      <w:r>
        <w:t xml:space="preserve">:</w:t>
      </w:r>
      <w:r>
        <w:t xml:space="preserve"> </w:t>
      </w:r>
      <m:oMath>
        <m:r>
          <m:t>e</m:t>
        </m:r>
        <m:d>
          <m:dPr>
            <m:begChr m:val="("/>
            <m:sepChr m:val=""/>
            <m:endChr m:val=")"/>
            <m:grow/>
          </m:dPr>
          <m:e>
            <m:r>
              <m:t>L</m:t>
            </m:r>
          </m:e>
        </m:d>
        <m:r>
          <m:rPr>
            <m:sty m:val="p"/>
          </m:rPr>
          <m:t>=</m:t>
        </m:r>
        <m:r>
          <m:rPr>
            <m:sty m:val="p"/>
          </m:rPr>
          <m:t>Pr</m:t>
        </m:r>
        <m:d>
          <m:dPr>
            <m:begChr m:val="["/>
            <m:sepChr m:val=""/>
            <m:endChr m:val="]"/>
            <m:grow/>
          </m:dPr>
          <m:e>
            <m:r>
              <m:t>A</m:t>
            </m:r>
            <m:r>
              <m:rPr>
                <m:sty m:val="p"/>
              </m:rPr>
              <m:t>=</m:t>
            </m:r>
            <m:r>
              <m:t>1</m:t>
            </m:r>
            <m:r>
              <m:rPr>
                <m:sty m:val="p"/>
              </m:rPr>
              <m:t>∣</m:t>
            </m:r>
            <m:r>
              <m:t>L</m:t>
            </m:r>
          </m:e>
        </m:d>
      </m:oMath>
    </w:p>
    <w:p>
      <w:pPr>
        <w:pStyle w:val="BodyText"/>
      </w:pPr>
      <w:r>
        <w:rPr>
          <w:b/>
          <w:bCs/>
        </w:rPr>
        <w:t xml:space="preserve">Treatment model</w:t>
      </w:r>
      <w:r>
        <w:t xml:space="preserve">: Any model for</w:t>
      </w:r>
      <w:r>
        <w:t xml:space="preserve"> </w:t>
      </w:r>
      <m:oMath>
        <m:r>
          <m:rPr>
            <m:sty m:val="p"/>
          </m:rPr>
          <m:t>Pr</m:t>
        </m:r>
        <m:d>
          <m:dPr>
            <m:begChr m:val="["/>
            <m:sepChr m:val=""/>
            <m:endChr m:val="]"/>
            <m:grow/>
          </m:dPr>
          <m:e>
            <m:r>
              <m:t>A</m:t>
            </m:r>
            <m:r>
              <m:rPr>
                <m:sty m:val="p"/>
              </m:rPr>
              <m:t>∣</m:t>
            </m:r>
            <m:r>
              <m:t>L</m:t>
            </m:r>
          </m:e>
        </m:d>
      </m:oMath>
      <w:r>
        <w:t xml:space="preserve"> </w:t>
      </w:r>
      <w:r>
        <w:t xml:space="preserve">(or</w:t>
      </w:r>
      <w:r>
        <w:t xml:space="preserve"> </w:t>
      </w:r>
      <m:oMath>
        <m:r>
          <m:t>f</m:t>
        </m:r>
        <m:d>
          <m:dPr>
            <m:begChr m:val="("/>
            <m:sepChr m:val=""/>
            <m:endChr m:val=")"/>
            <m:grow/>
          </m:dPr>
          <m:e>
            <m:r>
              <m:t>A</m:t>
            </m:r>
            <m:r>
              <m:rPr>
                <m:sty m:val="p"/>
              </m:rPr>
              <m:t>∣</m:t>
            </m:r>
            <m:r>
              <m:t>L</m:t>
            </m:r>
          </m:e>
        </m:d>
      </m:oMath>
      <w:r>
        <w:t xml:space="preserve"> </w:t>
      </w:r>
      <w:r>
        <w:t xml:space="preserve">for non-binary</w:t>
      </w:r>
      <w:r>
        <w:t xml:space="preserve"> </w:t>
      </w:r>
      <m:oMath>
        <m:r>
          <m:t>A</m:t>
        </m:r>
      </m:oMath>
      <w:r>
        <w:t xml:space="preserve">)</w:t>
      </w:r>
    </w:p>
    <w:p>
      <w:pPr>
        <w:pStyle w:val="BodyText"/>
      </w:pPr>
      <w:r>
        <w:rPr>
          <w:b/>
          <w:bCs/>
        </w:rPr>
        <w:t xml:space="preserve">Marginal structural model (MSM)</w:t>
      </w:r>
      <w:r>
        <w:t xml:space="preserve">: Model for</w:t>
      </w:r>
      <w:r>
        <w:t xml:space="preserve"> </w:t>
      </w:r>
      <m:oMath>
        <m:r>
          <m:t>E</m:t>
        </m:r>
        <m:d>
          <m:dPr>
            <m:begChr m:val="["/>
            <m:sepChr m:val=""/>
            <m:endChr m:val="]"/>
            <m:grow/>
          </m:dPr>
          <m:e>
            <m:sSup>
              <m:e>
                <m:r>
                  <m:t>Y</m:t>
                </m:r>
              </m:e>
              <m:sup>
                <m:r>
                  <m:t>a</m:t>
                </m:r>
              </m:sup>
            </m:sSup>
          </m:e>
        </m:d>
      </m:oMath>
      <w:r>
        <w:t xml:space="preserve"> </w:t>
      </w:r>
      <w:r>
        <w:t xml:space="preserve">or</w:t>
      </w:r>
      <w:r>
        <w:t xml:space="preserve"> </w:t>
      </w:r>
      <m:oMath>
        <m:r>
          <m:t>E</m:t>
        </m:r>
        <m:d>
          <m:dPr>
            <m:begChr m:val="["/>
            <m:sepChr m:val=""/>
            <m:endChr m:val="]"/>
            <m:grow/>
          </m:dPr>
          <m:e>
            <m:sSup>
              <m:e>
                <m:r>
                  <m:t>Y</m:t>
                </m:r>
              </m:e>
              <m:sup>
                <m:r>
                  <m:t>a</m:t>
                </m:r>
              </m:sup>
            </m:sSup>
            <m:r>
              <m:rPr>
                <m:sty m:val="p"/>
              </m:rPr>
              <m:t>∣</m:t>
            </m:r>
            <m:r>
              <m:t>V</m:t>
            </m:r>
          </m:e>
        </m:d>
      </m:oMath>
    </w:p>
    <w:bookmarkEnd w:id="37"/>
    <w:bookmarkStart w:id="38" w:name="relationship"/>
    <w:p>
      <w:pPr>
        <w:pStyle w:val="Heading3"/>
      </w:pPr>
      <w:r>
        <w:t xml:space="preserve">5.2 Relationship</w:t>
      </w:r>
    </w:p>
    <w:p>
      <w:pPr>
        <w:pStyle w:val="FirstParagraph"/>
      </w:pPr>
      <w:r>
        <w:rPr>
          <w:b/>
          <w:bCs/>
        </w:rPr>
        <w:t xml:space="preserve">IP weighting</w:t>
      </w:r>
      <w:r>
        <w:t xml:space="preserve"> </w:t>
      </w:r>
      <w:r>
        <w:t xml:space="preserve">uses the treatment model to create weights:</w:t>
      </w:r>
    </w:p>
    <w:p>
      <w:pPr>
        <w:pStyle w:val="BodyText"/>
      </w:pPr>
      <m:oMathPara>
        <m:oMathParaPr>
          <m:jc m:val="center"/>
        </m:oMathParaPr>
        <m:oMath>
          <m:sSup>
            <m:e>
              <m:r>
                <m:t>W</m:t>
              </m:r>
            </m:e>
            <m:sup>
              <m:r>
                <m:t>A</m:t>
              </m:r>
            </m:sup>
          </m:sSup>
          <m:r>
            <m:rPr>
              <m:sty m:val="p"/>
            </m:rPr>
            <m:t>=</m:t>
          </m:r>
          <m:f>
            <m:fPr>
              <m:type m:val="bar"/>
            </m:fPr>
            <m:num>
              <m:r>
                <m:t>1</m:t>
              </m:r>
            </m:num>
            <m:den>
              <m:r>
                <m:rPr>
                  <m:sty m:val="p"/>
                </m:rPr>
                <m:t>Pr</m:t>
              </m:r>
              <m:d>
                <m:dPr>
                  <m:begChr m:val="["/>
                  <m:sepChr m:val=""/>
                  <m:endChr m:val="]"/>
                  <m:grow/>
                </m:dPr>
                <m:e>
                  <m:r>
                    <m:t>A</m:t>
                  </m:r>
                  <m:r>
                    <m:rPr>
                      <m:sty m:val="p"/>
                    </m:rPr>
                    <m:t>∣</m:t>
                  </m:r>
                  <m:r>
                    <m:t>L</m:t>
                  </m:r>
                </m:e>
              </m:d>
            </m:den>
          </m:f>
        </m:oMath>
      </m:oMathPara>
    </w:p>
    <w:p>
      <w:pPr>
        <w:pStyle w:val="FirstParagraph"/>
      </w:pPr>
      <w:r>
        <w:t xml:space="preserve">For binary</w:t>
      </w:r>
      <w:r>
        <w:t xml:space="preserve"> </w:t>
      </w:r>
      <m:oMath>
        <m:r>
          <m:t>A</m:t>
        </m:r>
      </m:oMath>
      <w:r>
        <w:t xml:space="preserve">, this uses the propensity score:</w:t>
      </w:r>
    </w:p>
    <w:p>
      <w:pPr>
        <w:pStyle w:val="BodyText"/>
      </w:pPr>
      <m:oMathPara>
        <m:oMathParaPr>
          <m:jc m:val="center"/>
        </m:oMathParaPr>
        <m:oMath>
          <m:sSup>
            <m:e>
              <m:r>
                <m:t>W</m:t>
              </m:r>
            </m:e>
            <m:sup>
              <m:r>
                <m:t>A</m:t>
              </m:r>
            </m:sup>
          </m:sSup>
          <m:r>
            <m:rPr>
              <m:sty m:val="p"/>
            </m:rPr>
            <m:t>=</m:t>
          </m:r>
          <m:f>
            <m:fPr>
              <m:type m:val="bar"/>
            </m:fPr>
            <m:num>
              <m:r>
                <m:t>1</m:t>
              </m:r>
            </m:num>
            <m:den>
              <m:r>
                <m:t>e</m:t>
              </m:r>
              <m:d>
                <m:dPr>
                  <m:begChr m:val="("/>
                  <m:sepChr m:val=""/>
                  <m:endChr m:val=")"/>
                  <m:grow/>
                </m:dPr>
                <m:e>
                  <m:r>
                    <m:t>L</m:t>
                  </m:r>
                </m:e>
              </m:d>
            </m:den>
          </m:f>
          <m:r>
            <m:rPr>
              <m:nor/>
              <m:sty m:val="p"/>
            </m:rPr>
            <m:t> if </m:t>
          </m:r>
          <m:r>
            <m:t>A</m:t>
          </m:r>
          <m:r>
            <m:rPr>
              <m:sty m:val="p"/>
            </m:rPr>
            <m:t>=</m:t>
          </m:r>
          <m:r>
            <m:t>1</m:t>
          </m:r>
          <m:r>
            <m:rPr>
              <m:sty m:val="p"/>
            </m:rPr>
            <m:t>,</m:t>
          </m:r>
          <m:r>
            <m:t> </m:t>
          </m:r>
          <m:sSup>
            <m:e>
              <m:r>
                <m:t>W</m:t>
              </m:r>
            </m:e>
            <m:sup>
              <m:r>
                <m:t>A</m:t>
              </m:r>
            </m:sup>
          </m:sSup>
          <m:r>
            <m:rPr>
              <m:sty m:val="p"/>
            </m:rPr>
            <m:t>=</m:t>
          </m:r>
          <m:f>
            <m:fPr>
              <m:type m:val="bar"/>
            </m:fPr>
            <m:num>
              <m:r>
                <m:t>1</m:t>
              </m:r>
            </m:num>
            <m:den>
              <m:r>
                <m:t>1</m:t>
              </m:r>
              <m:r>
                <m:rPr>
                  <m:sty m:val="p"/>
                </m:rPr>
                <m:t>−</m:t>
              </m:r>
              <m:r>
                <m:t>e</m:t>
              </m:r>
              <m:d>
                <m:dPr>
                  <m:begChr m:val="("/>
                  <m:sepChr m:val=""/>
                  <m:endChr m:val=")"/>
                  <m:grow/>
                </m:dPr>
                <m:e>
                  <m:r>
                    <m:t>L</m:t>
                  </m:r>
                </m:e>
              </m:d>
            </m:den>
          </m:f>
          <m:r>
            <m:rPr>
              <m:nor/>
              <m:sty m:val="p"/>
            </m:rPr>
            <m:t> if </m:t>
          </m:r>
          <m:r>
            <m:t>A</m:t>
          </m:r>
          <m:r>
            <m:rPr>
              <m:sty m:val="p"/>
            </m:rPr>
            <m:t>=</m:t>
          </m:r>
          <m:r>
            <m:t>0</m:t>
          </m:r>
        </m:oMath>
      </m:oMathPara>
    </w:p>
    <w:p>
      <w:pPr>
        <w:pStyle w:val="FirstParagraph"/>
      </w:pPr>
      <w:r>
        <w:rPr>
          <w:b/>
          <w:bCs/>
        </w:rPr>
        <w:t xml:space="preserve">MSM</w:t>
      </w:r>
      <w:r>
        <w:t xml:space="preserve"> </w:t>
      </w:r>
      <w:r>
        <w:t xml:space="preserve">is then fit using IP weights:</w:t>
      </w:r>
    </w:p>
    <w:p>
      <w:pPr>
        <w:pStyle w:val="BodyText"/>
      </w:pPr>
      <m:oMathPara>
        <m:oMathParaPr>
          <m:jc m:val="center"/>
        </m:oMathParaPr>
        <m:oMath>
          <m:r>
            <m:t>E</m:t>
          </m:r>
          <m:d>
            <m:dPr>
              <m:begChr m:val="["/>
              <m:sepChr m:val=""/>
              <m:endChr m:val="]"/>
              <m:grow/>
            </m:dPr>
            <m:e>
              <m:sSup>
                <m:e>
                  <m:r>
                    <m:t>Y</m:t>
                  </m:r>
                </m:e>
                <m:sup>
                  <m:r>
                    <m:t>a</m:t>
                  </m:r>
                </m:sup>
              </m:sSup>
            </m:e>
          </m:d>
          <m:r>
            <m:rPr>
              <m:sty m:val="p"/>
            </m:rPr>
            <m:t>=</m:t>
          </m:r>
          <m:sSub>
            <m:e>
              <m:r>
                <m:t>β</m:t>
              </m:r>
            </m:e>
            <m:sub>
              <m:r>
                <m:t>0</m:t>
              </m:r>
            </m:sub>
          </m:sSub>
          <m:r>
            <m:rPr>
              <m:sty m:val="p"/>
            </m:rPr>
            <m:t>+</m:t>
          </m:r>
          <m:sSub>
            <m:e>
              <m:r>
                <m:t>β</m:t>
              </m:r>
            </m:e>
            <m:sub>
              <m:r>
                <m:t>1</m:t>
              </m:r>
            </m:sub>
          </m:sSub>
          <m:r>
            <m:t>a</m:t>
          </m:r>
        </m:oMath>
      </m:oMathPara>
    </w:p>
    <w:p>
      <w:pPr>
        <w:pStyle w:val="FirstParagraph"/>
      </w:pPr>
      <w:r>
        <w:rPr>
          <w:b/>
          <w:bCs/>
        </w:rPr>
        <w:t xml:space="preserve">Distinction</w:t>
      </w:r>
      <w:r>
        <w:t xml:space="preserve">:</w:t>
      </w:r>
    </w:p>
    <w:p>
      <w:pPr>
        <w:pStyle w:val="Compact"/>
        <w:numPr>
          <w:ilvl w:val="0"/>
          <w:numId w:val="1020"/>
        </w:numPr>
      </w:pPr>
      <w:r>
        <w:rPr>
          <w:b/>
          <w:bCs/>
        </w:rPr>
        <w:t xml:space="preserve">Propensity score</w:t>
      </w:r>
      <w:r>
        <w:t xml:space="preserve">: A specific quantity,</w:t>
      </w:r>
      <w:r>
        <w:t xml:space="preserve"> </w:t>
      </w:r>
      <m:oMath>
        <m:r>
          <m:rPr>
            <m:sty m:val="p"/>
          </m:rPr>
          <m:t>Pr</m:t>
        </m:r>
        <m:d>
          <m:dPr>
            <m:begChr m:val="["/>
            <m:sepChr m:val=""/>
            <m:endChr m:val="]"/>
            <m:grow/>
          </m:dPr>
          <m:e>
            <m:r>
              <m:t>A</m:t>
            </m:r>
            <m:r>
              <m:rPr>
                <m:sty m:val="p"/>
              </m:rPr>
              <m:t>=</m:t>
            </m:r>
            <m:r>
              <m:t>1</m:t>
            </m:r>
            <m:r>
              <m:rPr>
                <m:sty m:val="p"/>
              </m:rPr>
              <m:t>∣</m:t>
            </m:r>
            <m:r>
              <m:t>L</m:t>
            </m:r>
          </m:e>
        </m:d>
      </m:oMath>
    </w:p>
    <w:p>
      <w:pPr>
        <w:pStyle w:val="Compact"/>
        <w:numPr>
          <w:ilvl w:val="0"/>
          <w:numId w:val="1020"/>
        </w:numPr>
      </w:pPr>
      <w:r>
        <w:rPr>
          <w:b/>
          <w:bCs/>
        </w:rPr>
        <w:t xml:space="preserve">Treatment model</w:t>
      </w:r>
      <w:r>
        <w:t xml:space="preserve">: A statistical model for</w:t>
      </w:r>
      <w:r>
        <w:t xml:space="preserve"> </w:t>
      </w:r>
      <m:oMath>
        <m:r>
          <m:rPr>
            <m:sty m:val="p"/>
          </m:rPr>
          <m:t>Pr</m:t>
        </m:r>
        <m:d>
          <m:dPr>
            <m:begChr m:val="["/>
            <m:sepChr m:val=""/>
            <m:endChr m:val="]"/>
            <m:grow/>
          </m:dPr>
          <m:e>
            <m:r>
              <m:t>A</m:t>
            </m:r>
            <m:r>
              <m:rPr>
                <m:sty m:val="p"/>
              </m:rPr>
              <m:t>∣</m:t>
            </m:r>
            <m:r>
              <m:t>L</m:t>
            </m:r>
          </m:e>
        </m:d>
      </m:oMath>
      <w:r>
        <w:t xml:space="preserve">, which can be used to estimate propensity scores</w:t>
      </w:r>
    </w:p>
    <w:p>
      <w:pPr>
        <w:pStyle w:val="Compact"/>
        <w:numPr>
          <w:ilvl w:val="0"/>
          <w:numId w:val="1020"/>
        </w:numPr>
      </w:pPr>
      <w:r>
        <w:rPr>
          <w:b/>
          <w:bCs/>
        </w:rPr>
        <w:t xml:space="preserve">MSM</w:t>
      </w:r>
      <w:r>
        <w:t xml:space="preserve">: A model for potential outcomes, estimated using IP weights derived from the treatment model</w:t>
      </w:r>
    </w:p>
    <w:p>
      <w:pPr>
        <w:pStyle w:val="FirstParagraph"/>
      </w:pPr>
      <w:r>
        <w:t xml:space="preserve">These are related but distinct concepts. The propensity score can be used for:</w:t>
      </w:r>
    </w:p>
    <w:p>
      <w:pPr>
        <w:pStyle w:val="Compact"/>
        <w:numPr>
          <w:ilvl w:val="0"/>
          <w:numId w:val="1021"/>
        </w:numPr>
      </w:pPr>
      <w:r>
        <w:t xml:space="preserve">IP weighting (via treatment model)</w:t>
      </w:r>
    </w:p>
    <w:p>
      <w:pPr>
        <w:pStyle w:val="Compact"/>
        <w:numPr>
          <w:ilvl w:val="0"/>
          <w:numId w:val="1021"/>
        </w:numPr>
      </w:pPr>
      <w:r>
        <w:t xml:space="preserve">Stratification</w:t>
      </w:r>
    </w:p>
    <w:p>
      <w:pPr>
        <w:pStyle w:val="Compact"/>
        <w:numPr>
          <w:ilvl w:val="0"/>
          <w:numId w:val="1021"/>
        </w:numPr>
      </w:pPr>
      <w:r>
        <w:t xml:space="preserve">Matching</w:t>
      </w:r>
    </w:p>
    <w:p>
      <w:pPr>
        <w:pStyle w:val="FirstParagraph"/>
      </w:pPr>
      <w:r>
        <w:t xml:space="preserve">All three methods aim to adjust for confounding.</w:t>
      </w:r>
    </w:p>
    <w:bookmarkEnd w:id="38"/>
    <w:bookmarkEnd w:id="39"/>
    <w:bookmarkStart w:id="42" w:name="X85bf17f62e6e6ad7c275f59787b73a23dc1186a"/>
    <w:p>
      <w:pPr>
        <w:pStyle w:val="Heading2"/>
      </w:pPr>
      <w:r>
        <w:t xml:space="preserve">6 15.6 Propensity Scores and Outcome Regression (pp. 222-224)</w:t>
      </w:r>
    </w:p>
    <w:p>
      <w:r>
        <w:pict>
          <v:rect style="width:0;height:1.5pt" o:hralign="center" o:hrstd="t" o:hr="t"/>
        </w:pict>
      </w:r>
    </w:p>
    <w:p>
      <w:pPr>
        <w:pStyle w:val="FirstParagraph"/>
      </w:pPr>
      <w:r>
        <w:t xml:space="preserve">Can we combine propensity scores with outcome regression?</w:t>
      </w:r>
    </w:p>
    <w:bookmarkStart w:id="40" w:name="doubly-robust-estimation"/>
    <w:p>
      <w:pPr>
        <w:pStyle w:val="Heading3"/>
      </w:pPr>
      <w:r>
        <w:t xml:space="preserve">6.1 Doubly Robust Estimation</w:t>
      </w:r>
    </w:p>
    <w:p>
      <w:pPr>
        <w:pStyle w:val="FirstParagraph"/>
      </w:pPr>
      <w:r>
        <w:rPr>
          <w:b/>
          <w:bCs/>
        </w:rPr>
        <w:t xml:space="preserve">Idea</w:t>
      </w:r>
      <w:r>
        <w:t xml:space="preserve">: Use both a treatment model and an outcome model.</w:t>
      </w:r>
    </w:p>
    <w:p>
      <w:pPr>
        <w:pStyle w:val="BodyText"/>
      </w:pPr>
      <w:r>
        <w:rPr>
          <w:b/>
          <w:bCs/>
        </w:rPr>
        <w:t xml:space="preserve">Estimator</w:t>
      </w:r>
      <w:r>
        <w:t xml:space="preserve">: Fit outcome model within propensity score strata (or matched sets), then standardize.</w:t>
      </w:r>
    </w:p>
    <w:p>
      <w:pPr>
        <w:pStyle w:val="BodyText"/>
      </w:pPr>
      <w:r>
        <w:rPr>
          <w:b/>
          <w:bCs/>
        </w:rPr>
        <w:t xml:space="preserve">Double robustness</w:t>
      </w:r>
      <w:r>
        <w:t xml:space="preserve">: The estimator is consistent if EITHER:</w:t>
      </w:r>
    </w:p>
    <w:p>
      <w:pPr>
        <w:pStyle w:val="Compact"/>
        <w:numPr>
          <w:ilvl w:val="0"/>
          <w:numId w:val="1022"/>
        </w:numPr>
      </w:pPr>
      <w:r>
        <w:t xml:space="preserve">The propensity score model is correct, OR</w:t>
      </w:r>
    </w:p>
    <w:p>
      <w:pPr>
        <w:pStyle w:val="Compact"/>
        <w:numPr>
          <w:ilvl w:val="0"/>
          <w:numId w:val="1022"/>
        </w:numPr>
      </w:pPr>
      <w:r>
        <w:t xml:space="preserve">The outcome model is correct</w:t>
      </w:r>
    </w:p>
    <w:p>
      <w:pPr>
        <w:pStyle w:val="FirstParagraph"/>
      </w:pPr>
      <w:r>
        <w:t xml:space="preserve">(But not necessarily both)</w:t>
      </w:r>
    </w:p>
    <w:bookmarkEnd w:id="40"/>
    <w:bookmarkStart w:id="41" w:name="augmented-ip-weighting-aipw"/>
    <w:p>
      <w:pPr>
        <w:pStyle w:val="Heading3"/>
      </w:pPr>
      <w:r>
        <w:t xml:space="preserve">6.2 Augmented IP Weighting (AIPW)</w:t>
      </w:r>
    </w:p>
    <w:p>
      <w:pPr>
        <w:pStyle w:val="FirstParagraph"/>
      </w:pPr>
      <w:r>
        <w:rPr>
          <w:b/>
          <w:bCs/>
        </w:rPr>
        <w:t xml:space="preserve">Advanced approach</w:t>
      </w:r>
      <w:r>
        <w:t xml:space="preserve">: Combine IP weighting with outcome modeling:</w:t>
      </w:r>
    </w:p>
    <w:p>
      <w:pPr>
        <w:pStyle w:val="BodyText"/>
      </w:pPr>
      <m:oMathPara>
        <m:oMathParaPr>
          <m:jc m:val="center"/>
        </m:oMathParaPr>
        <m:oMath>
          <m:acc>
            <m:accPr>
              <m:chr m:val="̂"/>
            </m:accPr>
            <m:e>
              <m:r>
                <m:t>E</m:t>
              </m:r>
            </m:e>
          </m:acc>
          <m:d>
            <m:dPr>
              <m:begChr m:val="["/>
              <m:sepChr m:val=""/>
              <m:endChr m:val="]"/>
              <m:grow/>
            </m:dPr>
            <m:e>
              <m:sSup>
                <m:e>
                  <m:r>
                    <m:t>Y</m:t>
                  </m:r>
                </m:e>
                <m:sup>
                  <m:r>
                    <m:t>a</m:t>
                  </m:r>
                </m:sup>
              </m:sSup>
            </m:e>
          </m:d>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d>
                <m:dPr>
                  <m:begChr m:val="["/>
                  <m:sepChr m:val=""/>
                  <m:endChr m:val="]"/>
                  <m:grow/>
                </m:dPr>
                <m:e>
                  <m:f>
                    <m:fPr>
                      <m:type m:val="bar"/>
                    </m:fPr>
                    <m:num>
                      <m:r>
                        <m:t>I</m:t>
                      </m:r>
                      <m:d>
                        <m:dPr>
                          <m:begChr m:val="("/>
                          <m:sepChr m:val=""/>
                          <m:endChr m:val=")"/>
                          <m:grow/>
                        </m:dPr>
                        <m:e>
                          <m:sSub>
                            <m:e>
                              <m:r>
                                <m:t>A</m:t>
                              </m:r>
                            </m:e>
                            <m:sub>
                              <m:r>
                                <m:t>i</m:t>
                              </m:r>
                            </m:sub>
                          </m:sSub>
                          <m:r>
                            <m:rPr>
                              <m:sty m:val="p"/>
                            </m:rPr>
                            <m:t>=</m:t>
                          </m:r>
                          <m:r>
                            <m:t>a</m:t>
                          </m:r>
                        </m:e>
                      </m:d>
                      <m:sSub>
                        <m:e>
                          <m:r>
                            <m:t>Y</m:t>
                          </m:r>
                        </m:e>
                        <m:sub>
                          <m:r>
                            <m:t>i</m:t>
                          </m:r>
                        </m:sub>
                      </m:sSub>
                    </m:num>
                    <m:den>
                      <m:r>
                        <m:t>f</m:t>
                      </m:r>
                      <m:d>
                        <m:dPr>
                          <m:begChr m:val="("/>
                          <m:sepChr m:val=""/>
                          <m:endChr m:val=")"/>
                          <m:grow/>
                        </m:dPr>
                        <m:e>
                          <m:r>
                            <m:t>a</m:t>
                          </m:r>
                          <m:r>
                            <m:rPr>
                              <m:sty m:val="p"/>
                            </m:rPr>
                            <m:t>∣</m:t>
                          </m:r>
                          <m:sSub>
                            <m:e>
                              <m:r>
                                <m:t>L</m:t>
                              </m:r>
                            </m:e>
                            <m:sub>
                              <m:r>
                                <m:t>i</m:t>
                              </m:r>
                            </m:sub>
                          </m:sSub>
                        </m:e>
                      </m:d>
                    </m:den>
                  </m:f>
                  <m:r>
                    <m:rPr>
                      <m:sty m:val="p"/>
                    </m:rPr>
                    <m:t>−</m:t>
                  </m:r>
                  <m:f>
                    <m:fPr>
                      <m:type m:val="bar"/>
                    </m:fPr>
                    <m:num>
                      <m:r>
                        <m:t>I</m:t>
                      </m:r>
                      <m:d>
                        <m:dPr>
                          <m:begChr m:val="("/>
                          <m:sepChr m:val=""/>
                          <m:endChr m:val=")"/>
                          <m:grow/>
                        </m:dPr>
                        <m:e>
                          <m:sSub>
                            <m:e>
                              <m:r>
                                <m:t>A</m:t>
                              </m:r>
                            </m:e>
                            <m:sub>
                              <m:r>
                                <m:t>i</m:t>
                              </m:r>
                            </m:sub>
                          </m:sSub>
                          <m:r>
                            <m:rPr>
                              <m:sty m:val="p"/>
                            </m:rPr>
                            <m:t>=</m:t>
                          </m:r>
                          <m:r>
                            <m:t>a</m:t>
                          </m:r>
                        </m:e>
                      </m:d>
                      <m:r>
                        <m:rPr>
                          <m:sty m:val="p"/>
                        </m:rPr>
                        <m:t>−</m:t>
                      </m:r>
                      <m:r>
                        <m:t>f</m:t>
                      </m:r>
                      <m:d>
                        <m:dPr>
                          <m:begChr m:val="("/>
                          <m:sepChr m:val=""/>
                          <m:endChr m:val=")"/>
                          <m:grow/>
                        </m:dPr>
                        <m:e>
                          <m:r>
                            <m:t>a</m:t>
                          </m:r>
                          <m:r>
                            <m:rPr>
                              <m:sty m:val="p"/>
                            </m:rPr>
                            <m:t>∣</m:t>
                          </m:r>
                          <m:sSub>
                            <m:e>
                              <m:r>
                                <m:t>L</m:t>
                              </m:r>
                            </m:e>
                            <m:sub>
                              <m:r>
                                <m:t>i</m:t>
                              </m:r>
                            </m:sub>
                          </m:sSub>
                        </m:e>
                      </m:d>
                    </m:num>
                    <m:den>
                      <m:r>
                        <m:t>f</m:t>
                      </m:r>
                      <m:d>
                        <m:dPr>
                          <m:begChr m:val="("/>
                          <m:sepChr m:val=""/>
                          <m:endChr m:val=")"/>
                          <m:grow/>
                        </m:dPr>
                        <m:e>
                          <m:r>
                            <m:t>a</m:t>
                          </m:r>
                          <m:r>
                            <m:rPr>
                              <m:sty m:val="p"/>
                            </m:rPr>
                            <m:t>∣</m:t>
                          </m:r>
                          <m:sSub>
                            <m:e>
                              <m:r>
                                <m:t>L</m:t>
                              </m:r>
                            </m:e>
                            <m:sub>
                              <m:r>
                                <m:t>i</m:t>
                              </m:r>
                            </m:sub>
                          </m:sSub>
                        </m:e>
                      </m:d>
                    </m:den>
                  </m:f>
                  <m:r>
                    <m:t>m</m:t>
                  </m:r>
                  <m:d>
                    <m:dPr>
                      <m:begChr m:val="("/>
                      <m:sepChr m:val=""/>
                      <m:endChr m:val=")"/>
                      <m:grow/>
                    </m:dPr>
                    <m:e>
                      <m:r>
                        <m:t>a</m:t>
                      </m:r>
                      <m:r>
                        <m:rPr>
                          <m:sty m:val="p"/>
                        </m:rPr>
                        <m:t>,</m:t>
                      </m:r>
                      <m:sSub>
                        <m:e>
                          <m:r>
                            <m:t>L</m:t>
                          </m:r>
                        </m:e>
                        <m:sub>
                          <m:r>
                            <m:t>i</m:t>
                          </m:r>
                        </m:sub>
                      </m:sSub>
                    </m:e>
                  </m:d>
                </m:e>
              </m:d>
            </m:e>
          </m:nary>
        </m:oMath>
      </m:oMathPara>
    </w:p>
    <w:p>
      <w:pPr>
        <w:pStyle w:val="FirstParagraph"/>
      </w:pPr>
      <w:r>
        <w:t xml:space="preserve">where</w:t>
      </w:r>
      <w:r>
        <w:t xml:space="preserve"> </w:t>
      </w:r>
      <m:oMath>
        <m:r>
          <m:t>m</m:t>
        </m:r>
        <m:d>
          <m:dPr>
            <m:begChr m:val="("/>
            <m:sepChr m:val=""/>
            <m:endChr m:val=")"/>
            <m:grow/>
          </m:dPr>
          <m:e>
            <m:r>
              <m:t>a</m:t>
            </m:r>
            <m:r>
              <m:rPr>
                <m:sty m:val="p"/>
              </m:rPr>
              <m:t>,</m:t>
            </m:r>
            <m:r>
              <m:t>L</m:t>
            </m:r>
          </m:e>
        </m:d>
        <m:r>
          <m:rPr>
            <m:sty m:val="p"/>
          </m:rPr>
          <m:t>=</m:t>
        </m:r>
        <m:acc>
          <m:accPr>
            <m:chr m:val="̂"/>
          </m:accPr>
          <m:e>
            <m:r>
              <m:t>E</m:t>
            </m:r>
          </m:e>
        </m:acc>
        <m:d>
          <m:dPr>
            <m:begChr m:val="["/>
            <m:sepChr m:val=""/>
            <m:endChr m:val="]"/>
            <m:grow/>
          </m:dPr>
          <m:e>
            <m:r>
              <m:t>Y</m:t>
            </m:r>
            <m:r>
              <m:rPr>
                <m:sty m:val="p"/>
              </m:rPr>
              <m:t>∣</m:t>
            </m:r>
            <m:r>
              <m:t>A</m:t>
            </m:r>
            <m:r>
              <m:rPr>
                <m:sty m:val="p"/>
              </m:rPr>
              <m:t>=</m:t>
            </m:r>
            <m:r>
              <m:t>a</m:t>
            </m:r>
            <m:r>
              <m:rPr>
                <m:sty m:val="p"/>
              </m:rPr>
              <m:t>,</m:t>
            </m:r>
            <m:r>
              <m:t>L</m:t>
            </m:r>
          </m:e>
        </m:d>
      </m:oMath>
      <w:r>
        <w:t xml:space="preserve"> </w:t>
      </w:r>
      <w:r>
        <w:t xml:space="preserve">is the outcome model.</w:t>
      </w:r>
    </w:p>
    <w:p>
      <w:pPr>
        <w:pStyle w:val="BodyText"/>
      </w:pPr>
      <w:r>
        <w:rPr>
          <w:b/>
          <w:bCs/>
        </w:rPr>
        <w:t xml:space="preserve">Properties</w:t>
      </w:r>
      <w:r>
        <w:t xml:space="preserve">:</w:t>
      </w:r>
    </w:p>
    <w:p>
      <w:pPr>
        <w:pStyle w:val="Compact"/>
        <w:numPr>
          <w:ilvl w:val="0"/>
          <w:numId w:val="1023"/>
        </w:numPr>
      </w:pPr>
      <w:r>
        <w:t xml:space="preserve">Doubly robust: Consistent if either model is correct</w:t>
      </w:r>
    </w:p>
    <w:p>
      <w:pPr>
        <w:pStyle w:val="Compact"/>
        <w:numPr>
          <w:ilvl w:val="0"/>
          <w:numId w:val="1023"/>
        </w:numPr>
      </w:pPr>
      <w:r>
        <w:t xml:space="preserve">More efficient than IP weighting alone when outcome model is correct</w:t>
      </w:r>
    </w:p>
    <w:p>
      <w:pPr>
        <w:pStyle w:val="Compact"/>
        <w:numPr>
          <w:ilvl w:val="0"/>
          <w:numId w:val="1023"/>
        </w:numPr>
      </w:pPr>
      <w:r>
        <w:t xml:space="preserve">Locally efficient (optimal variance) when both models are correct</w:t>
      </w:r>
    </w:p>
    <w:p>
      <w:pPr>
        <w:pStyle w:val="FirstParagraph"/>
      </w:pPr>
      <w:r>
        <w:rPr>
          <w:b/>
          <w:bCs/>
        </w:rPr>
        <w:t xml:space="preserve">Practical advice</w:t>
      </w:r>
      <w:r>
        <w:t xml:space="preserve">:</w:t>
      </w:r>
    </w:p>
    <w:p>
      <w:pPr>
        <w:pStyle w:val="BodyText"/>
      </w:pPr>
      <w:r>
        <w:t xml:space="preserve">Doubly robust methods provide insurance against misspecification of one model. However:</w:t>
      </w:r>
    </w:p>
    <w:p>
      <w:pPr>
        <w:pStyle w:val="Compact"/>
        <w:numPr>
          <w:ilvl w:val="0"/>
          <w:numId w:val="1024"/>
        </w:numPr>
      </w:pPr>
      <w:r>
        <w:t xml:space="preserve">If both models are wrong, the estimator is generally inconsistent</w:t>
      </w:r>
    </w:p>
    <w:p>
      <w:pPr>
        <w:pStyle w:val="Compact"/>
        <w:numPr>
          <w:ilvl w:val="0"/>
          <w:numId w:val="1024"/>
        </w:numPr>
      </w:pPr>
      <w:r>
        <w:t xml:space="preserve">Model checking is still important for both models</w:t>
      </w:r>
    </w:p>
    <w:p>
      <w:pPr>
        <w:pStyle w:val="Compact"/>
        <w:numPr>
          <w:ilvl w:val="0"/>
          <w:numId w:val="1024"/>
        </w:numPr>
      </w:pPr>
      <w:r>
        <w:t xml:space="preserve">These methods are more complex to implement and require specialized software</w:t>
      </w:r>
    </w:p>
    <w:p>
      <w:pPr>
        <w:pStyle w:val="FirstParagraph"/>
      </w:pPr>
      <w:r>
        <w:t xml:space="preserve">Many researchers use simpler approaches (IP weighting OR outcome regression) and conduct sensitivity analyses by trying both methods.</w:t>
      </w:r>
    </w:p>
    <w:bookmarkEnd w:id="41"/>
    <w:bookmarkEnd w:id="42"/>
    <w:bookmarkStart w:id="46" w:name="X5b9853773ffbe11101007724ea32c1dd79fbc97"/>
    <w:p>
      <w:pPr>
        <w:pStyle w:val="Heading2"/>
      </w:pPr>
      <w:r>
        <w:t xml:space="preserve">7 15.7 Propensity Scores for Continuous Treatments (pp. 224-226)</w:t>
      </w:r>
    </w:p>
    <w:p>
      <w:r>
        <w:pict>
          <v:rect style="width:0;height:1.5pt" o:hralign="center" o:hrstd="t" o:hr="t"/>
        </w:pict>
      </w:r>
    </w:p>
    <w:p>
      <w:pPr>
        <w:pStyle w:val="FirstParagraph"/>
      </w:pPr>
      <w:r>
        <w:t xml:space="preserve">Propensity scores extend to</w:t>
      </w:r>
      <w:r>
        <w:t xml:space="preserve"> </w:t>
      </w:r>
      <w:r>
        <w:rPr>
          <w:b/>
          <w:bCs/>
        </w:rPr>
        <w:t xml:space="preserve">continuous treatments</w:t>
      </w:r>
      <w:r>
        <w:t xml:space="preserve">, though with additional complexity.</w:t>
      </w:r>
    </w:p>
    <w:bookmarkStart w:id="43" w:name="generalized-propensity-score"/>
    <w:p>
      <w:pPr>
        <w:pStyle w:val="Heading3"/>
      </w:pPr>
      <w:r>
        <w:t xml:space="preserve">7.1 Generalized Propensity Score</w:t>
      </w:r>
    </w:p>
    <w:p>
      <w:pPr>
        <w:pStyle w:val="FirstParagraph"/>
      </w:pPr>
      <w:r>
        <w:t xml:space="preserve">For continuous treatment</w:t>
      </w:r>
      <w:r>
        <w:t xml:space="preserve"> </w:t>
      </w:r>
      <m:oMath>
        <m:r>
          <m:t>A</m:t>
        </m:r>
      </m:oMath>
      <w:r>
        <w:t xml:space="preserve">, the</w:t>
      </w:r>
      <w:r>
        <w:t xml:space="preserve"> </w:t>
      </w:r>
      <w:r>
        <w:rPr>
          <w:b/>
          <w:bCs/>
        </w:rPr>
        <w:t xml:space="preserve">generalized propensity score</w:t>
      </w:r>
      <w:r>
        <w:t xml:space="preserve"> </w:t>
      </w:r>
      <w:r>
        <w:t xml:space="preserve">is the conditional density:</w:t>
      </w:r>
    </w:p>
    <w:p>
      <w:pPr>
        <w:pStyle w:val="BodyText"/>
      </w:pPr>
      <m:oMathPara>
        <m:oMathParaPr>
          <m:jc m:val="center"/>
        </m:oMathParaPr>
        <m:oMath>
          <m:r>
            <m:t>f</m:t>
          </m:r>
          <m:d>
            <m:dPr>
              <m:begChr m:val="("/>
              <m:sepChr m:val=""/>
              <m:endChr m:val=")"/>
              <m:grow/>
            </m:dPr>
            <m:e>
              <m:r>
                <m:t>A</m:t>
              </m:r>
              <m:r>
                <m:rPr>
                  <m:sty m:val="p"/>
                </m:rPr>
                <m:t>∣</m:t>
              </m:r>
              <m:r>
                <m:t>L</m:t>
              </m:r>
            </m:e>
          </m:d>
        </m:oMath>
      </m:oMathPara>
    </w:p>
    <w:p>
      <w:pPr>
        <w:pStyle w:val="FirstParagraph"/>
      </w:pPr>
      <w:r>
        <w:rPr>
          <w:b/>
          <w:bCs/>
        </w:rPr>
        <w:t xml:space="preserve">Balancing property</w:t>
      </w:r>
      <w:r>
        <w:t xml:space="preserve">: Under conditional exchangeability,</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f</m:t>
          </m:r>
          <m:d>
            <m:dPr>
              <m:begChr m:val="("/>
              <m:sepChr m:val=""/>
              <m:endChr m:val=")"/>
              <m:grow/>
            </m:dPr>
            <m:e>
              <m:r>
                <m:t>A</m:t>
              </m:r>
              <m:r>
                <m:rPr>
                  <m:sty m:val="p"/>
                </m:rPr>
                <m:t>∣</m:t>
              </m:r>
              <m:r>
                <m:t>L</m:t>
              </m:r>
            </m:e>
          </m:d>
        </m:oMath>
      </m:oMathPara>
    </w:p>
    <w:bookmarkEnd w:id="43"/>
    <w:bookmarkStart w:id="44" w:name="estimation"/>
    <w:p>
      <w:pPr>
        <w:pStyle w:val="Heading3"/>
      </w:pPr>
      <w:r>
        <w:t xml:space="preserve">7.2 Estimation</w:t>
      </w:r>
    </w:p>
    <w:p>
      <w:pPr>
        <w:pStyle w:val="FirstParagraph"/>
      </w:pPr>
      <w:r>
        <w:rPr>
          <w:b/>
          <w:bCs/>
        </w:rPr>
        <w:t xml:space="preserve">Common approach</w:t>
      </w:r>
      <w:r>
        <w:t xml:space="preserve">: Model the conditional distribution of</w:t>
      </w:r>
      <w:r>
        <w:t xml:space="preserve"> </w:t>
      </w:r>
      <m:oMath>
        <m:r>
          <m:t>A</m:t>
        </m:r>
      </m:oMath>
      <w:r>
        <w:t xml:space="preserve"> </w:t>
      </w:r>
      <w:r>
        <w:t xml:space="preserve">given</w:t>
      </w:r>
      <w:r>
        <w:t xml:space="preserve"> </w:t>
      </w:r>
      <m:oMath>
        <m:r>
          <m:t>L</m:t>
        </m:r>
      </m:oMath>
      <w:r>
        <w:t xml:space="preserve">.</w:t>
      </w:r>
    </w:p>
    <w:p>
      <w:pPr>
        <w:pStyle w:val="BodyText"/>
      </w:pPr>
      <w:r>
        <w:rPr>
          <w:b/>
          <w:bCs/>
        </w:rPr>
        <w:t xml:space="preserve">Example</w:t>
      </w:r>
      <w:r>
        <w:t xml:space="preserve">: Normal model</w:t>
      </w:r>
    </w:p>
    <w:p>
      <w:pPr>
        <w:pStyle w:val="BodyText"/>
      </w:pPr>
      <m:oMathPara>
        <m:oMathParaPr>
          <m:jc m:val="center"/>
        </m:oMathParaPr>
        <m:oMath>
          <m:r>
            <m:t>A</m:t>
          </m:r>
          <m:r>
            <m:rPr>
              <m:sty m:val="p"/>
            </m:rPr>
            <m:t>∣</m:t>
          </m:r>
          <m:r>
            <m:t>L</m:t>
          </m:r>
          <m:r>
            <m:rPr>
              <m:sty m:val="p"/>
            </m:rPr>
            <m:t>∼</m:t>
          </m:r>
          <m:r>
            <m:rPr>
              <m:nor/>
              <m:sty m:val="p"/>
            </m:rPr>
            <m:t>Normal</m:t>
          </m:r>
          <m:d>
            <m:dPr>
              <m:begChr m:val="("/>
              <m:sepChr m:val=""/>
              <m:endChr m:val=")"/>
              <m:grow/>
            </m:dPr>
            <m:e>
              <m:r>
                <m:t>μ</m:t>
              </m:r>
              <m:d>
                <m:dPr>
                  <m:begChr m:val="("/>
                  <m:sepChr m:val=""/>
                  <m:endChr m:val=")"/>
                  <m:grow/>
                </m:dPr>
                <m:e>
                  <m:r>
                    <m:t>L</m:t>
                  </m:r>
                </m:e>
              </m:d>
              <m:r>
                <m:rPr>
                  <m:sty m:val="p"/>
                </m:rPr>
                <m:t>,</m:t>
              </m:r>
              <m:sSup>
                <m:e>
                  <m:r>
                    <m:t>σ</m:t>
                  </m:r>
                </m:e>
                <m:sup>
                  <m:r>
                    <m:t>2</m:t>
                  </m:r>
                </m:sup>
              </m:sSup>
            </m:e>
          </m:d>
        </m:oMath>
      </m:oMathPara>
    </w:p>
    <w:p>
      <w:pPr>
        <w:pStyle w:val="FirstParagraph"/>
      </w:pPr>
      <w:r>
        <w:t xml:space="preserve">where</w:t>
      </w:r>
      <w:r>
        <w:t xml:space="preserve"> </w:t>
      </w:r>
      <m:oMath>
        <m:r>
          <m:t>μ</m:t>
        </m:r>
        <m:d>
          <m:dPr>
            <m:begChr m:val="("/>
            <m:sepChr m:val=""/>
            <m:endChr m:val=")"/>
            <m:grow/>
          </m:dPr>
          <m:e>
            <m:r>
              <m:t>L</m:t>
            </m:r>
          </m:e>
        </m:d>
        <m:r>
          <m:rPr>
            <m:sty m:val="p"/>
          </m:rPr>
          <m:t>=</m:t>
        </m:r>
        <m:sSub>
          <m:e>
            <m:r>
              <m:t>α</m:t>
            </m:r>
          </m:e>
          <m:sub>
            <m:r>
              <m:t>0</m:t>
            </m:r>
          </m:sub>
        </m:sSub>
        <m:r>
          <m:rPr>
            <m:sty m:val="p"/>
          </m:rPr>
          <m:t>+</m:t>
        </m:r>
        <m:sSubSup>
          <m:e>
            <m:r>
              <m:t>α</m:t>
            </m:r>
          </m:e>
          <m:sub>
            <m:r>
              <m:t>1</m:t>
            </m:r>
          </m:sub>
          <m:sup>
            <m:r>
              <m:rPr>
                <m:sty m:val="p"/>
              </m:rPr>
              <m:t>⊤</m:t>
            </m:r>
          </m:sup>
        </m:sSubSup>
        <m:r>
          <m:t>L</m:t>
        </m:r>
      </m:oMath>
    </w:p>
    <w:p>
      <w:pPr>
        <w:pStyle w:val="BodyText"/>
      </w:pPr>
      <w:r>
        <w:rPr>
          <w:b/>
          <w:bCs/>
        </w:rPr>
        <w:t xml:space="preserve">GPS</w:t>
      </w:r>
      <w:r>
        <w:t xml:space="preserve">:</w:t>
      </w:r>
      <w:r>
        <w:t xml:space="preserve"> </w:t>
      </w:r>
      <m:oMath>
        <m:r>
          <m:t>f</m:t>
        </m:r>
        <m:d>
          <m:dPr>
            <m:begChr m:val="("/>
            <m:sepChr m:val=""/>
            <m:endChr m:val=")"/>
            <m:grow/>
          </m:dPr>
          <m:e>
            <m:sSub>
              <m:e>
                <m:r>
                  <m:t>A</m:t>
                </m:r>
              </m:e>
              <m:sub>
                <m:r>
                  <m:t>i</m:t>
                </m:r>
              </m:sub>
            </m:sSub>
            <m:r>
              <m:rPr>
                <m:sty m:val="p"/>
              </m:rPr>
              <m:t>∣</m:t>
            </m:r>
            <m:sSub>
              <m:e>
                <m:r>
                  <m:t>L</m:t>
                </m:r>
              </m:e>
              <m:sub>
                <m:r>
                  <m:t>i</m:t>
                </m:r>
              </m:sub>
            </m:sSub>
          </m:e>
        </m:d>
        <m:r>
          <m:rPr>
            <m:sty m:val="p"/>
          </m:rPr>
          <m:t>=</m:t>
        </m:r>
        <m:r>
          <m:t>ϕ</m:t>
        </m:r>
        <m:d>
          <m:dPr>
            <m:begChr m:val="("/>
            <m:sepChr m:val=""/>
            <m:endChr m:val=")"/>
            <m:grow/>
          </m:dPr>
          <m:e>
            <m:f>
              <m:fPr>
                <m:type m:val="bar"/>
              </m:fPr>
              <m:num>
                <m:sSub>
                  <m:e>
                    <m:r>
                      <m:t>A</m:t>
                    </m:r>
                  </m:e>
                  <m:sub>
                    <m:r>
                      <m:t>i</m:t>
                    </m:r>
                  </m:sub>
                </m:sSub>
                <m:r>
                  <m:rPr>
                    <m:sty m:val="p"/>
                  </m:rPr>
                  <m:t>−</m:t>
                </m:r>
                <m:r>
                  <m:t>μ</m:t>
                </m:r>
                <m:d>
                  <m:dPr>
                    <m:begChr m:val="("/>
                    <m:sepChr m:val=""/>
                    <m:endChr m:val=")"/>
                    <m:grow/>
                  </m:dPr>
                  <m:e>
                    <m:sSub>
                      <m:e>
                        <m:r>
                          <m:t>L</m:t>
                        </m:r>
                      </m:e>
                      <m:sub>
                        <m:r>
                          <m:t>i</m:t>
                        </m:r>
                      </m:sub>
                    </m:sSub>
                  </m:e>
                </m:d>
              </m:num>
              <m:den>
                <m:r>
                  <m:t>σ</m:t>
                </m:r>
              </m:den>
            </m:f>
          </m:e>
        </m:d>
      </m:oMath>
      <w:r>
        <w:t xml:space="preserve"> </w:t>
      </w:r>
      <w:r>
        <w:t xml:space="preserve">where</w:t>
      </w:r>
      <w:r>
        <w:t xml:space="preserve"> </w:t>
      </w:r>
      <m:oMath>
        <m:r>
          <m:t>ϕ</m:t>
        </m:r>
      </m:oMath>
      <w:r>
        <w:t xml:space="preserve"> </w:t>
      </w:r>
      <w:r>
        <w:t xml:space="preserve">is the standard normal density.</w:t>
      </w:r>
    </w:p>
    <w:bookmarkEnd w:id="44"/>
    <w:bookmarkStart w:id="45" w:name="using-the-gps"/>
    <w:p>
      <w:pPr>
        <w:pStyle w:val="Heading3"/>
      </w:pPr>
      <w:r>
        <w:t xml:space="preserve">7.3 Using the GPS</w:t>
      </w:r>
    </w:p>
    <w:p>
      <w:pPr>
        <w:pStyle w:val="FirstParagraph"/>
      </w:pPr>
      <w:r>
        <w:rPr>
          <w:b/>
          <w:bCs/>
        </w:rPr>
        <w:t xml:space="preserve">IP weighting</w:t>
      </w:r>
      <w:r>
        <w:t xml:space="preserve">: Create weights</w:t>
      </w:r>
    </w:p>
    <w:p>
      <w:pPr>
        <w:pStyle w:val="BodyText"/>
      </w:pPr>
      <m:oMathPara>
        <m:oMathParaPr>
          <m:jc m:val="center"/>
        </m:oMathParaPr>
        <m:oMath>
          <m:sSub>
            <m:e>
              <m:r>
                <m:t>W</m:t>
              </m:r>
            </m:e>
            <m:sub>
              <m:r>
                <m:t>i</m:t>
              </m:r>
            </m:sub>
          </m:sSub>
          <m:r>
            <m:rPr>
              <m:sty m:val="p"/>
            </m:rPr>
            <m:t>=</m:t>
          </m:r>
          <m:f>
            <m:fPr>
              <m:type m:val="bar"/>
            </m:fPr>
            <m:num>
              <m:r>
                <m:t>f</m:t>
              </m:r>
              <m:d>
                <m:dPr>
                  <m:begChr m:val="("/>
                  <m:sepChr m:val=""/>
                  <m:endChr m:val=")"/>
                  <m:grow/>
                </m:dPr>
                <m:e>
                  <m:sSub>
                    <m:e>
                      <m:r>
                        <m:t>A</m:t>
                      </m:r>
                    </m:e>
                    <m:sub>
                      <m:r>
                        <m:t>i</m:t>
                      </m:r>
                    </m:sub>
                  </m:sSub>
                </m:e>
              </m:d>
            </m:num>
            <m:den>
              <m:r>
                <m:t>f</m:t>
              </m:r>
              <m:d>
                <m:dPr>
                  <m:begChr m:val="("/>
                  <m:sepChr m:val=""/>
                  <m:endChr m:val=")"/>
                  <m:grow/>
                </m:dPr>
                <m:e>
                  <m:sSub>
                    <m:e>
                      <m:r>
                        <m:t>A</m:t>
                      </m:r>
                    </m:e>
                    <m:sub>
                      <m:r>
                        <m:t>i</m:t>
                      </m:r>
                    </m:sub>
                  </m:sSub>
                  <m:r>
                    <m:rPr>
                      <m:sty m:val="p"/>
                    </m:rPr>
                    <m:t>∣</m:t>
                  </m:r>
                  <m:sSub>
                    <m:e>
                      <m:r>
                        <m:t>L</m:t>
                      </m:r>
                    </m:e>
                    <m:sub>
                      <m:r>
                        <m:t>i</m:t>
                      </m:r>
                    </m:sub>
                  </m:sSub>
                </m:e>
              </m:d>
            </m:den>
          </m:f>
        </m:oMath>
      </m:oMathPara>
    </w:p>
    <w:p>
      <w:pPr>
        <w:pStyle w:val="FirstParagraph"/>
      </w:pPr>
      <w:r>
        <w:t xml:space="preserve">where</w:t>
      </w:r>
      <w:r>
        <w:t xml:space="preserve"> </w:t>
      </w:r>
      <m:oMath>
        <m:r>
          <m:t>f</m:t>
        </m:r>
        <m:d>
          <m:dPr>
            <m:begChr m:val="("/>
            <m:sepChr m:val=""/>
            <m:endChr m:val=")"/>
            <m:grow/>
          </m:dPr>
          <m:e>
            <m:sSub>
              <m:e>
                <m:r>
                  <m:t>A</m:t>
                </m:r>
              </m:e>
              <m:sub>
                <m:r>
                  <m:t>i</m:t>
                </m:r>
              </m:sub>
            </m:sSub>
          </m:e>
        </m:d>
      </m:oMath>
      <w:r>
        <w:t xml:space="preserve"> </w:t>
      </w:r>
      <w:r>
        <w:t xml:space="preserve">is the marginal density of</w:t>
      </w:r>
      <w:r>
        <w:t xml:space="preserve"> </w:t>
      </w:r>
      <m:oMath>
        <m:r>
          <m:t>A</m:t>
        </m:r>
      </m:oMath>
      <w:r>
        <w:t xml:space="preserve"> </w:t>
      </w:r>
      <w:r>
        <w:t xml:space="preserve">(unconditional).</w:t>
      </w:r>
    </w:p>
    <w:p>
      <w:pPr>
        <w:pStyle w:val="BodyText"/>
      </w:pPr>
      <w:r>
        <w:rPr>
          <w:b/>
          <w:bCs/>
        </w:rPr>
        <w:t xml:space="preserve">Stratification</w:t>
      </w:r>
      <w:r>
        <w:t xml:space="preserve">: Stratify on the GPS and standardize within strata.</w:t>
      </w:r>
    </w:p>
    <w:p>
      <w:pPr>
        <w:pStyle w:val="BodyText"/>
      </w:pPr>
      <w:r>
        <w:rPr>
          <w:b/>
          <w:bCs/>
        </w:rPr>
        <w:t xml:space="preserve">Challenges with continuous treatments</w:t>
      </w:r>
      <w:r>
        <w:t xml:space="preserve">:</w:t>
      </w:r>
    </w:p>
    <w:p>
      <w:pPr>
        <w:pStyle w:val="Compact"/>
        <w:numPr>
          <w:ilvl w:val="0"/>
          <w:numId w:val="1025"/>
        </w:numPr>
      </w:pPr>
      <w:r>
        <w:rPr>
          <w:b/>
          <w:bCs/>
        </w:rPr>
        <w:t xml:space="preserve">Density estimation</w:t>
      </w:r>
      <w:r>
        <w:t xml:space="preserve">: Requires choosing a parametric model for</w:t>
      </w:r>
      <w:r>
        <w:t xml:space="preserve"> </w:t>
      </w:r>
      <m:oMath>
        <m:r>
          <m:t>f</m:t>
        </m:r>
        <m:d>
          <m:dPr>
            <m:begChr m:val="("/>
            <m:sepChr m:val=""/>
            <m:endChr m:val=")"/>
            <m:grow/>
          </m:dPr>
          <m:e>
            <m:r>
              <m:t>A</m:t>
            </m:r>
            <m:r>
              <m:rPr>
                <m:sty m:val="p"/>
              </m:rPr>
              <m:t>∣</m:t>
            </m:r>
            <m:r>
              <m:t>L</m:t>
            </m:r>
          </m:e>
        </m:d>
      </m:oMath>
    </w:p>
    <w:p>
      <w:pPr>
        <w:pStyle w:val="Compact"/>
        <w:numPr>
          <w:ilvl w:val="0"/>
          <w:numId w:val="1025"/>
        </w:numPr>
      </w:pPr>
      <w:r>
        <w:rPr>
          <w:b/>
          <w:bCs/>
        </w:rPr>
        <w:t xml:space="preserve">Positivity</w:t>
      </w:r>
      <w:r>
        <w:t xml:space="preserve">: Need</w:t>
      </w:r>
      <w:r>
        <w:t xml:space="preserve"> </w:t>
      </w:r>
      <m:oMath>
        <m:r>
          <m:t>f</m:t>
        </m:r>
        <m:d>
          <m:dPr>
            <m:begChr m:val="("/>
            <m:sepChr m:val=""/>
            <m:endChr m:val=")"/>
            <m:grow/>
          </m:dPr>
          <m:e>
            <m:r>
              <m:t>A</m:t>
            </m:r>
            <m:r>
              <m:rPr>
                <m:sty m:val="p"/>
              </m:rPr>
              <m:t>∣</m:t>
            </m:r>
            <m:r>
              <m:t>L</m:t>
            </m:r>
          </m:e>
        </m:d>
        <m:r>
          <m:rPr>
            <m:sty m:val="p"/>
          </m:rPr>
          <m:t>&gt;</m:t>
        </m:r>
        <m:r>
          <m:t>0</m:t>
        </m:r>
      </m:oMath>
      <w:r>
        <w:t xml:space="preserve"> </w:t>
      </w:r>
      <w:r>
        <w:t xml:space="preserve">for all observed</w:t>
      </w:r>
      <w:r>
        <w:t xml:space="preserve"> </w:t>
      </w:r>
      <m:oMath>
        <m:d>
          <m:dPr>
            <m:begChr m:val="("/>
            <m:sepChr m:val=""/>
            <m:endChr m:val=")"/>
            <m:grow/>
          </m:dPr>
          <m:e>
            <m:r>
              <m:t>A</m:t>
            </m:r>
            <m:r>
              <m:rPr>
                <m:sty m:val="p"/>
              </m:rPr>
              <m:t>,</m:t>
            </m:r>
            <m:r>
              <m:t>L</m:t>
            </m:r>
          </m:e>
        </m:d>
      </m:oMath>
      <w:r>
        <w:t xml:space="preserve"> </w:t>
      </w:r>
      <w:r>
        <w:t xml:space="preserve">combinations</w:t>
      </w:r>
    </w:p>
    <w:p>
      <w:pPr>
        <w:pStyle w:val="Compact"/>
        <w:numPr>
          <w:ilvl w:val="0"/>
          <w:numId w:val="1025"/>
        </w:numPr>
      </w:pPr>
      <w:r>
        <w:rPr>
          <w:b/>
          <w:bCs/>
        </w:rPr>
        <w:t xml:space="preserve">Practical positivity</w:t>
      </w:r>
      <w:r>
        <w:t xml:space="preserve">: Even if positive, very small densities lead to extreme weights</w:t>
      </w:r>
    </w:p>
    <w:p>
      <w:pPr>
        <w:pStyle w:val="Compact"/>
        <w:numPr>
          <w:ilvl w:val="0"/>
          <w:numId w:val="1025"/>
        </w:numPr>
      </w:pPr>
      <w:r>
        <w:rPr>
          <w:b/>
          <w:bCs/>
        </w:rPr>
        <w:t xml:space="preserve">Model diagnostics</w:t>
      </w:r>
      <w:r>
        <w:t xml:space="preserve">: Harder to check balance with continuous treatment</w:t>
      </w:r>
    </w:p>
    <w:p>
      <w:pPr>
        <w:pStyle w:val="FirstParagraph"/>
      </w:pPr>
      <w:r>
        <w:t xml:space="preserve">Despite these challenges, GPS methods can be useful for continuous exposures (dose, duration, intensity).</w:t>
      </w:r>
    </w:p>
    <w:bookmarkEnd w:id="45"/>
    <w:bookmarkEnd w:id="46"/>
    <w:bookmarkStart w:id="50" w:name="summary"/>
    <w:p>
      <w:pPr>
        <w:pStyle w:val="Heading2"/>
      </w:pPr>
      <w:r>
        <w:t xml:space="preserve">8 Summary</w:t>
      </w:r>
    </w:p>
    <w:p>
      <w:r>
        <w:pict>
          <v:rect style="width:0;height:1.5pt" o:hralign="center" o:hrstd="t" o:hr="t"/>
        </w:pict>
      </w:r>
    </w:p>
    <w:p>
      <w:pPr>
        <w:pStyle w:val="FirstParagraph"/>
      </w:pPr>
      <w:r>
        <w:rPr>
          <w:b/>
          <w:bCs/>
        </w:rPr>
        <w:t xml:space="preserve">Key concepts</w:t>
      </w:r>
      <w:r>
        <w:t xml:space="preserve">:</w:t>
      </w:r>
    </w:p>
    <w:p>
      <w:pPr>
        <w:pStyle w:val="Compact"/>
        <w:numPr>
          <w:ilvl w:val="0"/>
          <w:numId w:val="1026"/>
        </w:numPr>
      </w:pPr>
      <w:r>
        <w:rPr>
          <w:b/>
          <w:bCs/>
        </w:rPr>
        <w:t xml:space="preserve">Outcome regression</w:t>
      </w:r>
      <w:r>
        <w:t xml:space="preserve">: Models</w:t>
      </w:r>
      <w:r>
        <w:t xml:space="preserve"> </w:t>
      </w:r>
      <m:oMath>
        <m:r>
          <m:t>E</m:t>
        </m:r>
        <m:d>
          <m:dPr>
            <m:begChr m:val="["/>
            <m:sepChr m:val=""/>
            <m:endChr m:val="]"/>
            <m:grow/>
          </m:dPr>
          <m:e>
            <m:r>
              <m:t>Y</m:t>
            </m:r>
            <m:r>
              <m:rPr>
                <m:sty m:val="p"/>
              </m:rPr>
              <m:t>∣</m:t>
            </m:r>
            <m:r>
              <m:t>A</m:t>
            </m:r>
            <m:r>
              <m:rPr>
                <m:sty m:val="p"/>
              </m:rPr>
              <m:t>,</m:t>
            </m:r>
            <m:r>
              <m:t>L</m:t>
            </m:r>
          </m:e>
        </m:d>
      </m:oMath>
      <w:r>
        <w:t xml:space="preserve"> </w:t>
      </w:r>
      <w:r>
        <w:t xml:space="preserve">to estimate causal effects via g-formula</w:t>
      </w:r>
    </w:p>
    <w:p>
      <w:pPr>
        <w:pStyle w:val="Compact"/>
        <w:numPr>
          <w:ilvl w:val="0"/>
          <w:numId w:val="1026"/>
        </w:numPr>
      </w:pPr>
      <w:r>
        <w:rPr>
          <w:b/>
          <w:bCs/>
        </w:rPr>
        <w:t xml:space="preserve">Propensity score</w:t>
      </w:r>
      <w:r>
        <w:t xml:space="preserve">:</w:t>
      </w:r>
      <w:r>
        <w:t xml:space="preserve"> </w:t>
      </w:r>
      <m:oMath>
        <m:r>
          <m:t>e</m:t>
        </m:r>
        <m:d>
          <m:dPr>
            <m:begChr m:val="("/>
            <m:sepChr m:val=""/>
            <m:endChr m:val=")"/>
            <m:grow/>
          </m:dPr>
          <m:e>
            <m:r>
              <m:t>L</m:t>
            </m:r>
          </m:e>
        </m:d>
        <m:r>
          <m:rPr>
            <m:sty m:val="p"/>
          </m:rPr>
          <m:t>=</m:t>
        </m:r>
        <m:r>
          <m:rPr>
            <m:sty m:val="p"/>
          </m:rPr>
          <m:t>Pr</m:t>
        </m:r>
        <m:d>
          <m:dPr>
            <m:begChr m:val="["/>
            <m:sepChr m:val=""/>
            <m:endChr m:val="]"/>
            <m:grow/>
          </m:dPr>
          <m:e>
            <m:r>
              <m:t>A</m:t>
            </m:r>
            <m:r>
              <m:rPr>
                <m:sty m:val="p"/>
              </m:rPr>
              <m:t>=</m:t>
            </m:r>
            <m:r>
              <m:t>1</m:t>
            </m:r>
            <m:r>
              <m:rPr>
                <m:sty m:val="p"/>
              </m:rPr>
              <m:t>∣</m:t>
            </m:r>
            <m:r>
              <m:t>L</m:t>
            </m:r>
          </m:e>
        </m:d>
      </m:oMath>
      <w:r>
        <w:t xml:space="preserve">, reduces confounding adjustment to a single dimension</w:t>
      </w:r>
    </w:p>
    <w:p>
      <w:pPr>
        <w:pStyle w:val="Compact"/>
        <w:numPr>
          <w:ilvl w:val="0"/>
          <w:numId w:val="1026"/>
        </w:numPr>
      </w:pPr>
      <w:r>
        <w:rPr>
          <w:b/>
          <w:bCs/>
        </w:rPr>
        <w:t xml:space="preserve">Balancing property</w:t>
      </w:r>
      <w:r>
        <w:t xml:space="preserve">: Conditioning on propensity score achieves conditional exchangeability</w:t>
      </w:r>
    </w:p>
    <w:p>
      <w:pPr>
        <w:pStyle w:val="Compact"/>
        <w:numPr>
          <w:ilvl w:val="0"/>
          <w:numId w:val="1026"/>
        </w:numPr>
      </w:pPr>
      <w:r>
        <w:rPr>
          <w:b/>
          <w:bCs/>
        </w:rPr>
        <w:t xml:space="preserve">Propensity stratification</w:t>
      </w:r>
      <w:r>
        <w:t xml:space="preserve">: Create strata by propensity score and standardize</w:t>
      </w:r>
    </w:p>
    <w:p>
      <w:pPr>
        <w:pStyle w:val="Compact"/>
        <w:numPr>
          <w:ilvl w:val="0"/>
          <w:numId w:val="1026"/>
        </w:numPr>
      </w:pPr>
      <w:r>
        <w:rPr>
          <w:b/>
          <w:bCs/>
        </w:rPr>
        <w:t xml:space="preserve">Propensity matching</w:t>
      </w:r>
      <w:r>
        <w:t xml:space="preserve">: Match treated and untreated with similar propensity scores</w:t>
      </w:r>
    </w:p>
    <w:p>
      <w:pPr>
        <w:pStyle w:val="Compact"/>
        <w:numPr>
          <w:ilvl w:val="0"/>
          <w:numId w:val="1026"/>
        </w:numPr>
      </w:pPr>
      <w:r>
        <w:rPr>
          <w:b/>
          <w:bCs/>
        </w:rPr>
        <w:t xml:space="preserve">Double robustness</w:t>
      </w:r>
      <w:r>
        <w:t xml:space="preserve">: Combining treatment and outcome models for robustness</w:t>
      </w:r>
    </w:p>
    <w:p>
      <w:pPr>
        <w:pStyle w:val="Compact"/>
        <w:numPr>
          <w:ilvl w:val="0"/>
          <w:numId w:val="1026"/>
        </w:numPr>
      </w:pPr>
      <w:r>
        <w:rPr>
          <w:b/>
          <w:bCs/>
        </w:rPr>
        <w:t xml:space="preserve">Continuous treatments</w:t>
      </w:r>
      <w:r>
        <w:t xml:space="preserve">: Generalized propensity score extends to non-binary treatments</w:t>
      </w:r>
    </w:p>
    <w:p>
      <w:pPr>
        <w:pStyle w:val="FirstParagraph"/>
      </w:pPr>
      <w:r>
        <w:rPr>
          <w:b/>
          <w:bCs/>
        </w:rPr>
        <w:t xml:space="preserve">Methods comparison</w:t>
      </w:r>
      <w:r>
        <w:t xml:space="preserve">:</w:t>
      </w:r>
    </w:p>
    <w:tbl>
      <w:tblPr>
        <w:tblStyle w:val="Table"/>
        <w:tblW w:type="pct" w:w="5000"/>
        <w:tblLayout w:type="fixed"/>
        <w:tblLook w:firstRow="1" w:lastRow="0" w:firstColumn="0" w:lastColumn="0" w:noHBand="0" w:noVBand="0" w:val="0020"/>
      </w:tblPr>
      <w:tblGrid>
        <w:gridCol w:w="1545"/>
        <w:gridCol w:w="1159"/>
        <w:gridCol w:w="2318"/>
        <w:gridCol w:w="2897"/>
      </w:tblGrid>
      <w:tr>
        <w:trPr>
          <w:tblHeader w:val="on"/>
        </w:trPr>
        <w:tc>
          <w:tcPr/>
          <w:p>
            <w:pPr>
              <w:pStyle w:val="Compact"/>
            </w:pPr>
            <w:r>
              <w:t xml:space="preserve">Method</w:t>
            </w:r>
          </w:p>
        </w:tc>
        <w:tc>
          <w:tcPr/>
          <w:p>
            <w:pPr>
              <w:pStyle w:val="Compact"/>
            </w:pPr>
            <w:r>
              <w:t xml:space="preserve">Uses</w:t>
            </w:r>
          </w:p>
        </w:tc>
        <w:tc>
          <w:tcPr/>
          <w:p>
            <w:pPr>
              <w:pStyle w:val="Compact"/>
            </w:pPr>
            <w:r>
              <w:t xml:space="preserve">Advantages</w:t>
            </w:r>
          </w:p>
        </w:tc>
        <w:tc>
          <w:tcPr/>
          <w:p>
            <w:pPr>
              <w:pStyle w:val="Compact"/>
            </w:pPr>
            <w:r>
              <w:t xml:space="preserve">Disadvantages</w:t>
            </w:r>
          </w:p>
        </w:tc>
      </w:tr>
      <w:tr>
        <w:tc>
          <w:tcPr/>
          <w:p>
            <w:pPr>
              <w:pStyle w:val="Compact"/>
            </w:pPr>
            <w:r>
              <w:rPr>
                <w:b/>
                <w:bCs/>
              </w:rPr>
              <w:t xml:space="preserve">Outcome regression</w:t>
            </w:r>
          </w:p>
        </w:tc>
        <w:tc>
          <w:tcPr/>
          <w:p>
            <w:pPr>
              <w:pStyle w:val="Compact"/>
            </w:pPr>
            <m:oMath>
              <m:r>
                <m:t>E</m:t>
              </m:r>
              <m:d>
                <m:dPr>
                  <m:begChr m:val="["/>
                  <m:sepChr m:val=""/>
                  <m:endChr m:val="]"/>
                  <m:grow/>
                </m:dPr>
                <m:e>
                  <m:r>
                    <m:t>Y</m:t>
                  </m:r>
                  <m:r>
                    <m:rPr>
                      <m:sty m:val="p"/>
                    </m:rPr>
                    <m:t>∣</m:t>
                  </m:r>
                  <m:r>
                    <m:t>A</m:t>
                  </m:r>
                  <m:r>
                    <m:rPr>
                      <m:sty m:val="p"/>
                    </m:rPr>
                    <m:t>,</m:t>
                  </m:r>
                  <m:r>
                    <m:t>L</m:t>
                  </m:r>
                </m:e>
              </m:d>
            </m:oMath>
          </w:p>
        </w:tc>
        <w:tc>
          <w:tcPr/>
          <w:p>
            <w:pPr>
              <w:pStyle w:val="Compact"/>
            </w:pPr>
            <w:r>
              <w:t xml:space="preserve">Natural, efficient when correct</w:t>
            </w:r>
          </w:p>
        </w:tc>
        <w:tc>
          <w:tcPr/>
          <w:p>
            <w:pPr>
              <w:pStyle w:val="Compact"/>
            </w:pPr>
            <w:r>
              <w:t xml:space="preserve">Requires correct outcome model</w:t>
            </w:r>
          </w:p>
        </w:tc>
      </w:tr>
      <w:tr>
        <w:tc>
          <w:tcPr/>
          <w:p>
            <w:pPr>
              <w:pStyle w:val="Compact"/>
            </w:pPr>
            <w:r>
              <w:rPr>
                <w:b/>
                <w:bCs/>
              </w:rPr>
              <w:t xml:space="preserve">IP weighting</w:t>
            </w:r>
          </w:p>
        </w:tc>
        <w:tc>
          <w:tcPr/>
          <w:p>
            <w:pPr>
              <w:pStyle w:val="Compact"/>
            </w:pPr>
            <m:oMath>
              <m:r>
                <m:rPr>
                  <m:sty m:val="p"/>
                </m:rPr>
                <m:t>Pr</m:t>
              </m:r>
              <m:d>
                <m:dPr>
                  <m:begChr m:val="["/>
                  <m:sepChr m:val=""/>
                  <m:endChr m:val="]"/>
                  <m:grow/>
                </m:dPr>
                <m:e>
                  <m:r>
                    <m:t>A</m:t>
                  </m:r>
                  <m:r>
                    <m:rPr>
                      <m:sty m:val="p"/>
                    </m:rPr>
                    <m:t>∣</m:t>
                  </m:r>
                  <m:r>
                    <m:t>L</m:t>
                  </m:r>
                </m:e>
              </m:d>
            </m:oMath>
          </w:p>
        </w:tc>
        <w:tc>
          <w:tcPr/>
          <w:p>
            <w:pPr>
              <w:pStyle w:val="Compact"/>
            </w:pPr>
            <w:r>
              <w:t xml:space="preserve">Natural for MSMs, handles time-varying</w:t>
            </w:r>
          </w:p>
        </w:tc>
        <w:tc>
          <w:tcPr/>
          <w:p>
            <w:pPr>
              <w:pStyle w:val="Compact"/>
            </w:pPr>
            <w:r>
              <w:t xml:space="preserve">Can be unstable, needs correct treatment model</w:t>
            </w:r>
          </w:p>
        </w:tc>
      </w:tr>
      <w:tr>
        <w:tc>
          <w:tcPr/>
          <w:p>
            <w:pPr>
              <w:pStyle w:val="Compact"/>
            </w:pPr>
            <w:r>
              <w:rPr>
                <w:b/>
                <w:bCs/>
              </w:rPr>
              <w:t xml:space="preserve">Propensity matching</w:t>
            </w:r>
          </w:p>
        </w:tc>
        <w:tc>
          <w:tcPr/>
          <w:p>
            <w:pPr>
              <w:pStyle w:val="Compact"/>
            </w:pPr>
            <m:oMath>
              <m:r>
                <m:t>e</m:t>
              </m:r>
              <m:d>
                <m:dPr>
                  <m:begChr m:val="("/>
                  <m:sepChr m:val=""/>
                  <m:endChr m:val=")"/>
                  <m:grow/>
                </m:dPr>
                <m:e>
                  <m:r>
                    <m:t>L</m:t>
                  </m:r>
                </m:e>
              </m:d>
            </m:oMath>
          </w:p>
        </w:tc>
        <w:tc>
          <w:tcPr/>
          <w:p>
            <w:pPr>
              <w:pStyle w:val="Compact"/>
            </w:pPr>
            <w:r>
              <w:t xml:space="preserve">Intuitive, easy to check balance</w:t>
            </w:r>
          </w:p>
        </w:tc>
        <w:tc>
          <w:tcPr/>
          <w:p>
            <w:pPr>
              <w:pStyle w:val="Compact"/>
            </w:pPr>
            <w:r>
              <w:t xml:space="preserve">Discards data, complex inference</w:t>
            </w:r>
          </w:p>
        </w:tc>
      </w:tr>
      <w:tr>
        <w:tc>
          <w:tcPr/>
          <w:p>
            <w:pPr>
              <w:pStyle w:val="Compact"/>
            </w:pPr>
            <w:r>
              <w:rPr>
                <w:b/>
                <w:bCs/>
              </w:rPr>
              <w:t xml:space="preserve">Propensity stratification</w:t>
            </w:r>
          </w:p>
        </w:tc>
        <w:tc>
          <w:tcPr/>
          <w:p>
            <w:pPr>
              <w:pStyle w:val="Compact"/>
            </w:pPr>
            <m:oMath>
              <m:r>
                <m:t>e</m:t>
              </m:r>
              <m:d>
                <m:dPr>
                  <m:begChr m:val="("/>
                  <m:sepChr m:val=""/>
                  <m:endChr m:val=")"/>
                  <m:grow/>
                </m:dPr>
                <m:e>
                  <m:r>
                    <m:t>L</m:t>
                  </m:r>
                </m:e>
              </m:d>
            </m:oMath>
          </w:p>
        </w:tc>
        <w:tc>
          <w:tcPr/>
          <w:p>
            <w:pPr>
              <w:pStyle w:val="Compact"/>
            </w:pPr>
            <w:r>
              <w:t xml:space="preserve">Reduces dimensionality</w:t>
            </w:r>
          </w:p>
        </w:tc>
        <w:tc>
          <w:tcPr/>
          <w:p>
            <w:pPr>
              <w:pStyle w:val="Compact"/>
            </w:pPr>
            <w:r>
              <w:t xml:space="preserve">Requires choosing # of strata</w:t>
            </w:r>
          </w:p>
        </w:tc>
      </w:tr>
      <w:tr>
        <w:tc>
          <w:tcPr/>
          <w:p>
            <w:pPr>
              <w:pStyle w:val="Compact"/>
            </w:pPr>
            <w:r>
              <w:rPr>
                <w:b/>
                <w:bCs/>
              </w:rPr>
              <w:t xml:space="preserve">Doubly robust</w:t>
            </w:r>
          </w:p>
        </w:tc>
        <w:tc>
          <w:tcPr/>
          <w:p>
            <w:pPr>
              <w:pStyle w:val="Compact"/>
            </w:pPr>
            <w:r>
              <w:t xml:space="preserve">Both models</w:t>
            </w:r>
          </w:p>
        </w:tc>
        <w:tc>
          <w:tcPr/>
          <w:p>
            <w:pPr>
              <w:pStyle w:val="Compact"/>
            </w:pPr>
            <w:r>
              <w:t xml:space="preserve">Robust to one misspecification</w:t>
            </w:r>
          </w:p>
        </w:tc>
        <w:tc>
          <w:tcPr/>
          <w:p>
            <w:pPr>
              <w:pStyle w:val="Compact"/>
            </w:pPr>
            <w:r>
              <w:t xml:space="preserve">More complex, needs both models</w:t>
            </w:r>
          </w:p>
        </w:tc>
      </w:tr>
    </w:tbl>
    <w:p>
      <w:pPr>
        <w:pStyle w:val="BodyText"/>
      </w:pPr>
      <w:r>
        <w:rPr>
          <w:b/>
          <w:bCs/>
        </w:rPr>
        <w:t xml:space="preserve">Practical recommendations</w:t>
      </w:r>
      <w:r>
        <w:t xml:space="preserve">:</w:t>
      </w:r>
    </w:p>
    <w:p>
      <w:pPr>
        <w:pStyle w:val="Compact"/>
        <w:numPr>
          <w:ilvl w:val="0"/>
          <w:numId w:val="1027"/>
        </w:numPr>
      </w:pPr>
      <w:r>
        <w:rPr>
          <w:b/>
          <w:bCs/>
        </w:rPr>
        <w:t xml:space="preserve">Always check balance</w:t>
      </w:r>
      <w:r>
        <w:t xml:space="preserve">: After propensity score adjustment, assess whether confounders are balanced</w:t>
      </w:r>
    </w:p>
    <w:p>
      <w:pPr>
        <w:pStyle w:val="Compact"/>
        <w:numPr>
          <w:ilvl w:val="0"/>
          <w:numId w:val="1027"/>
        </w:numPr>
      </w:pPr>
      <w:r>
        <w:rPr>
          <w:b/>
          <w:bCs/>
        </w:rPr>
        <w:t xml:space="preserve">Model carefully</w:t>
      </w:r>
      <w:r>
        <w:t xml:space="preserve">: Propensity scores are only as good as the treatment model</w:t>
      </w:r>
    </w:p>
    <w:p>
      <w:pPr>
        <w:pStyle w:val="Compact"/>
        <w:numPr>
          <w:ilvl w:val="0"/>
          <w:numId w:val="1027"/>
        </w:numPr>
      </w:pPr>
      <w:r>
        <w:rPr>
          <w:b/>
          <w:bCs/>
        </w:rPr>
        <w:t xml:space="preserve">Check positivity</w:t>
      </w:r>
      <w:r>
        <w:t xml:space="preserve">: Extreme propensity scores (near 0 or 1) indicate violations</w:t>
      </w:r>
    </w:p>
    <w:p>
      <w:pPr>
        <w:pStyle w:val="Compact"/>
        <w:numPr>
          <w:ilvl w:val="0"/>
          <w:numId w:val="1027"/>
        </w:numPr>
      </w:pPr>
      <w:r>
        <w:rPr>
          <w:b/>
          <w:bCs/>
        </w:rPr>
        <w:t xml:space="preserve">Use multiple methods</w:t>
      </w:r>
      <w:r>
        <w:t xml:space="preserve">: Try outcome regression, IP weighting, and propensity methods as sensitivity analyses</w:t>
      </w:r>
    </w:p>
    <w:p>
      <w:pPr>
        <w:pStyle w:val="Compact"/>
        <w:numPr>
          <w:ilvl w:val="0"/>
          <w:numId w:val="1027"/>
        </w:numPr>
      </w:pPr>
      <w:r>
        <w:rPr>
          <w:b/>
          <w:bCs/>
        </w:rPr>
        <w:t xml:space="preserve">Consider double robustness</w:t>
      </w:r>
      <w:r>
        <w:t xml:space="preserve">: When feasible, doubly robust methods provide insurance against misspecification</w:t>
      </w:r>
    </w:p>
    <w:p>
      <w:pPr>
        <w:pStyle w:val="FirstParagraph"/>
      </w:pPr>
      <w:r>
        <w:rPr>
          <w:b/>
          <w:bCs/>
        </w:rPr>
        <w:t xml:space="preserve">Historical note</w:t>
      </w:r>
      <w:r>
        <w:t xml:space="preserve">:</w:t>
      </w:r>
    </w:p>
    <w:p>
      <w:pPr>
        <w:pStyle w:val="BodyText"/>
      </w:pPr>
      <w:r>
        <w:t xml:space="preserve">Propensity scores were popularized by Rosenbaum and Rubin (1983) and have become extremely popular in observational studies. However, they are not a panacea:</w:t>
      </w:r>
    </w:p>
    <w:p>
      <w:pPr>
        <w:pStyle w:val="Compact"/>
        <w:numPr>
          <w:ilvl w:val="0"/>
          <w:numId w:val="1028"/>
        </w:numPr>
      </w:pPr>
      <w:r>
        <w:t xml:space="preserve">They don’t solve the problem of unmeasured confounding</w:t>
      </w:r>
    </w:p>
    <w:p>
      <w:pPr>
        <w:pStyle w:val="Compact"/>
        <w:numPr>
          <w:ilvl w:val="0"/>
          <w:numId w:val="1028"/>
        </w:numPr>
      </w:pPr>
      <w:r>
        <w:t xml:space="preserve">They still require correct model specification</w:t>
      </w:r>
    </w:p>
    <w:p>
      <w:pPr>
        <w:pStyle w:val="Compact"/>
        <w:numPr>
          <w:ilvl w:val="0"/>
          <w:numId w:val="1028"/>
        </w:numPr>
      </w:pPr>
      <w:r>
        <w:t xml:space="preserve">They work best when there’s good overlap in propensity scores between treated and untreated</w:t>
      </w:r>
    </w:p>
    <w:p>
      <w:pPr>
        <w:pStyle w:val="FirstParagraph"/>
      </w:pPr>
      <w:r>
        <w:rPr>
          <w:b/>
          <w:bCs/>
        </w:rPr>
        <w:t xml:space="preserve">Looking ahead</w:t>
      </w:r>
      <w:r>
        <w:t xml:space="preserve">: Chapter 16 introduces instrumental variables, which can help with unmeasured confounding under different assumptions. Part III addresses time-varying treatments where IP weighting and g-formula shine.</w:t>
      </w:r>
    </w:p>
    <w:bookmarkStart w:id="49" w:name="refs"/>
    <w:bookmarkStart w:id="48"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47">
        <w:r>
          <w:rPr>
            <w:rStyle w:val="Hyperlink"/>
          </w:rPr>
          <w:t xml:space="preserve">https://miguelhernan.org/whatifbook</w:t>
        </w:r>
      </w:hyperlink>
      <w:r>
        <w:t xml:space="preserve">.</w:t>
      </w:r>
    </w:p>
    <w:bookmarkEnd w:id="48"/>
    <w:bookmarkEnd w:id="49"/>
    <w:bookmarkEnd w:id="5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47"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15: Outcome Regression and Propensity Scores</dc:title>
  <dc:creator/>
  <cp:keywords/>
  <dcterms:created xsi:type="dcterms:W3CDTF">2026-01-15T18:26:24Z</dcterms:created>
  <dcterms:modified xsi:type="dcterms:W3CDTF">2026-01-15T18:26:24Z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