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22: Target Trial Emulation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Randomized clinical trials are the gold standard for causal inference,</w:t>
      </w:r>
      <w:r>
        <w:t xml:space="preserve"> </w:t>
      </w:r>
      <w:r>
        <w:t xml:space="preserve">but they are often infeasible, unethical, too slow, or too narrow in scope</w:t>
      </w:r>
      <w:r>
        <w:t xml:space="preserve"> </w:t>
      </w:r>
      <w:r>
        <w:t xml:space="preserve">to answer the questions most relevant to clinical and policy decision-making.</w:t>
      </w:r>
      <w:r>
        <w:t xml:space="preserve"> </w:t>
      </w:r>
      <w:r>
        <w:t xml:space="preserve">Observational databases — electronic health records, insurance claims,</w:t>
      </w:r>
      <w:r>
        <w:t xml:space="preserve"> </w:t>
      </w:r>
      <w:r>
        <w:t xml:space="preserve">disease registries — contain rich longitudinal data on millions of patients</w:t>
      </w:r>
      <w:r>
        <w:t xml:space="preserve"> </w:t>
      </w:r>
      <w:r>
        <w:t xml:space="preserve">and offer an opportunity to answer causal questions at scale.</w:t>
      </w:r>
      <w:r>
        <w:t xml:space="preserve"> </w:t>
      </w:r>
      <w:r>
        <w:t xml:space="preserve">But the translation from</w:t>
      </w:r>
      <w:r>
        <w:t xml:space="preserve"> </w:t>
      </w:r>
      <w:r>
        <w:t xml:space="preserve">“data we have”</w:t>
      </w:r>
      <w:r>
        <w:t xml:space="preserve"> </w:t>
      </w:r>
      <w:r>
        <w:t xml:space="preserve">to</w:t>
      </w:r>
      <w:r>
        <w:t xml:space="preserve"> </w:t>
      </w:r>
      <w:r>
        <w:t xml:space="preserve">“causal question we want to answer”</w:t>
      </w:r>
      <w:r>
        <w:t xml:space="preserve"> </w:t>
      </w:r>
      <w:r>
        <w:t xml:space="preserve">is fraught with opportunities for bias.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target trial emulation</w:t>
      </w:r>
      <w:r>
        <w:t xml:space="preserve"> </w:t>
      </w:r>
      <w:r>
        <w:t xml:space="preserve">framework provides a principled solution:</w:t>
      </w:r>
      <w:r>
        <w:t xml:space="preserve"> </w:t>
      </w:r>
      <w:r>
        <w:t xml:space="preserve">explicitly specify the randomized trial you</w:t>
      </w:r>
      <w:r>
        <w:t xml:space="preserve"> </w:t>
      </w:r>
      <w:r>
        <w:rPr>
          <w:i/>
          <w:iCs/>
        </w:rPr>
        <w:t xml:space="preserve">would</w:t>
      </w:r>
      <w:r>
        <w:t xml:space="preserve"> </w:t>
      </w:r>
      <w:r>
        <w:t xml:space="preserve">have conducted if resources and ethics permitted</w:t>
      </w:r>
      <w:r>
        <w:t xml:space="preserve"> </w:t>
      </w:r>
      <w:r>
        <w:t xml:space="preserve">(the</w:t>
      </w:r>
      <w:r>
        <w:t xml:space="preserve"> </w:t>
      </w:r>
      <w:r>
        <w:rPr>
          <w:b/>
          <w:bCs/>
        </w:rPr>
        <w:t xml:space="preserve">target trial</w:t>
      </w:r>
      <w:r>
        <w:t xml:space="preserve">), then use observational data to emulate it as faithfully as possible.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22, pp. 305–320)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Central message</w:t>
      </w:r>
      <w:r>
        <w:t xml:space="preserve">: Many biases in observational pharmacoepidemiology studies</w:t>
      </w:r>
      <w:r>
        <w:t xml:space="preserve"> </w:t>
      </w:r>
      <w:r>
        <w:t xml:space="preserve">arise from implicit design choices that would not occur in a well-designed trial.</w:t>
      </w:r>
      <w:r>
        <w:t xml:space="preserve"> </w:t>
      </w:r>
      <w:r>
        <w:t xml:space="preserve">By making the target trial explicit — including its eligibility criteria,</w:t>
      </w:r>
      <w:r>
        <w:t xml:space="preserve"> </w:t>
      </w:r>
      <w:r>
        <w:t xml:space="preserve">treatment strategies, outcome, follow-up, and analysis plan —</w:t>
      </w:r>
      <w:r>
        <w:t xml:space="preserve"> </w:t>
      </w:r>
      <w:r>
        <w:t xml:space="preserve">analysts are forced to confront these choices and mitigate the resulting biases.</w:t>
      </w:r>
    </w:p>
    <w:bookmarkStart w:id="13" w:name="X1f46681b8c6429aa1487cda32bf83083b091a43"/>
    <w:p>
      <w:pPr>
        <w:pStyle w:val="Heading2"/>
      </w:pPr>
      <w:r>
        <w:t xml:space="preserve">1 22.1 Intention-to-Treat Effect and Per-Protocol Effect (p. 305)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a randomized trial, two causal estimands are commonly of interest: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9" w:name="def-itt"/>
          <w:p>
            <w:pPr>
              <w:pStyle w:val="BodyText"/>
            </w:pPr>
            <w:r>
              <w:rPr>
                <w:b/>
                <w:bCs/>
              </w:rPr>
              <w:t xml:space="preserve">Definition 1 (Intention-to-Treat (ITT) Effect)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intention-to-treat effect</w:t>
            </w:r>
            <w:r>
              <w:t xml:space="preserve"> </w:t>
            </w:r>
            <w:r>
              <w:t xml:space="preserve">is the causal effect of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i/>
                <w:iCs/>
              </w:rPr>
              <w:t xml:space="preserve">assigned</w:t>
            </w:r>
            <w:r>
              <w:t xml:space="preserve"> </w:t>
            </w:r>
            <w:r>
              <w:t xml:space="preserve">treatment strategy, regardless of whether participants</w:t>
            </w:r>
            <w:r>
              <w:t xml:space="preserve"> </w:t>
            </w:r>
            <w:r>
              <w:t xml:space="preserve">actually adhered to their assigned strategy.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ITT effect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assigned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assigned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.</m:t>
                </m:r>
              </m:oMath>
            </m:oMathPara>
          </w:p>
          <w:bookmarkEnd w:id="9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" w:name="def-pp"/>
          <w:p>
            <w:pPr>
              <w:pStyle w:val="BodyText"/>
            </w:pPr>
            <w:r>
              <w:rPr>
                <w:b/>
                <w:bCs/>
              </w:rPr>
              <w:t xml:space="preserve">Definition 2 (Per-Protocol (PP) Effect)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per-protocol effect</w:t>
            </w:r>
            <w:r>
              <w:t xml:space="preserve"> </w:t>
            </w:r>
            <w:r>
              <w:t xml:space="preserve">is the causal effect of</w:t>
            </w:r>
            <w:r>
              <w:t xml:space="preserve"> </w:t>
            </w:r>
            <w:r>
              <w:rPr>
                <w:i/>
                <w:iCs/>
              </w:rPr>
              <w:t xml:space="preserve">adhering</w:t>
            </w:r>
            <w:r>
              <w:t xml:space="preserve"> </w:t>
            </w:r>
            <w:r>
              <w:t xml:space="preserve">to the assigned treatment strategy throughout follow-up.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PP effect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nor/>
                            <m:sty m:val="p"/>
                          </m:rPr>
                          <m:t>adhere to arm 1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nor/>
                            <m:sty m:val="p"/>
                          </m:rPr>
                          <m:t>adhere to arm 0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.</m:t>
                </m:r>
              </m:oMath>
            </m:oMathPara>
          </w:p>
          <w:bookmarkEnd w:id="10"/>
        </w:tc>
      </w:tr>
    </w:tbl>
    <w:bookmarkStart w:id="11" w:name="differences-between-itt-and-pp"/>
    <w:p>
      <w:pPr>
        <w:pStyle w:val="Heading3"/>
      </w:pPr>
      <w:r>
        <w:t xml:space="preserve">1.1 Differences Between ITT and PP</w:t>
      </w:r>
    </w:p>
    <w:p>
      <w:pPr>
        <w:pStyle w:val="FirstParagraph"/>
      </w:pPr>
      <w:r>
        <w:t xml:space="preserve">The ITT analysis is straightforward in a randomized trial:</w:t>
      </w:r>
      <w:r>
        <w:t xml:space="preserve"> </w:t>
      </w:r>
      <w:r>
        <w:t xml:space="preserve">randomization ensures that assigned treatment is independent of all baseline characteristics,</w:t>
      </w:r>
      <w:r>
        <w:t xml:space="preserve"> </w:t>
      </w:r>
      <w:r>
        <w:t xml:space="preserve">so a simple comparison of outcomes by assigned group is valid.</w:t>
      </w:r>
      <w:r>
        <w:t xml:space="preserve"> </w:t>
      </w:r>
      <w:r>
        <w:t xml:space="preserve">The ITT effect is often conservative (toward the null) when adherence is incomplete,</w:t>
      </w:r>
      <w:r>
        <w:t xml:space="preserve"> </w:t>
      </w:r>
      <w:r>
        <w:t xml:space="preserve">because some participants in the active arm will not take the treatment.</w:t>
      </w:r>
    </w:p>
    <w:p>
      <w:pPr>
        <w:pStyle w:val="BodyText"/>
      </w:pPr>
      <w:r>
        <w:t xml:space="preserve">The PP analysis is harder because</w:t>
      </w:r>
      <w:r>
        <w:t xml:space="preserve"> </w:t>
      </w:r>
      <w:r>
        <w:rPr>
          <w:b/>
          <w:bCs/>
        </w:rPr>
        <w:t xml:space="preserve">non-adherence is not random</w:t>
      </w:r>
      <w:r>
        <w:t xml:space="preserve">:</w:t>
      </w:r>
      <w:r>
        <w:t xml:space="preserve"> </w:t>
      </w:r>
      <w:r>
        <w:t xml:space="preserve">participants who discontinue treatment differ from those who continue</w:t>
      </w:r>
      <w:r>
        <w:t xml:space="preserve"> </w:t>
      </w:r>
      <w:r>
        <w:t xml:space="preserve">in ways that are prognostically important.</w:t>
      </w:r>
      <w:r>
        <w:t xml:space="preserve"> </w:t>
      </w:r>
      <w:r>
        <w:t xml:space="preserve">In a trial, PP analysis requires adjustment for post-randomization confounders</w:t>
      </w:r>
      <w:r>
        <w:t xml:space="preserve"> </w:t>
      </w:r>
      <w:r>
        <w:t xml:space="preserve">(covariates that predict both adherence and the outcome),</w:t>
      </w:r>
      <w:r>
        <w:t xml:space="preserve"> </w:t>
      </w:r>
      <w:r>
        <w:t xml:space="preserve">using precisely the methods from Chapters 19–21.</w:t>
      </w:r>
    </w:p>
    <w:p>
      <w:pPr>
        <w:pStyle w:val="BodyText"/>
      </w:pPr>
      <w:r>
        <w:rPr>
          <w:b/>
          <w:bCs/>
        </w:rPr>
        <w:t xml:space="preserve">Why PP effects matter</w:t>
      </w:r>
      <w:r>
        <w:t xml:space="preserve">:</w:t>
      </w:r>
    </w:p>
    <w:p>
      <w:pPr>
        <w:pStyle w:val="BodyText"/>
      </w:pPr>
      <w:r>
        <w:t xml:space="preserve">Policy questions are often best answered by the PP effect.</w:t>
      </w:r>
      <w:r>
        <w:t xml:space="preserve"> </w:t>
      </w:r>
      <w:r>
        <w:t xml:space="preserve">For example, the question</w:t>
      </w:r>
      <w:r>
        <w:t xml:space="preserve"> </w:t>
      </w:r>
      <w:r>
        <w:t xml:space="preserve">“do statins reduce cardiovascular events?”</w:t>
      </w:r>
      <w:r>
        <w:t xml:space="preserve"> </w:t>
      </w:r>
      <w:r>
        <w:t xml:space="preserve">is really asking about the effect of</w:t>
      </w:r>
      <w:r>
        <w:t xml:space="preserve"> </w:t>
      </w:r>
      <w:r>
        <w:rPr>
          <w:i/>
          <w:iCs/>
        </w:rPr>
        <w:t xml:space="preserve">taking</w:t>
      </w:r>
      <w:r>
        <w:t xml:space="preserve"> </w:t>
      </w:r>
      <w:r>
        <w:t xml:space="preserve">statins,</w:t>
      </w:r>
      <w:r>
        <w:t xml:space="preserve"> </w:t>
      </w:r>
      <w:r>
        <w:t xml:space="preserve">not merely being assigned to the statin group.</w:t>
      </w:r>
      <w:r>
        <w:t xml:space="preserve"> </w:t>
      </w:r>
      <w:r>
        <w:t xml:space="preserve">If adherence is poor, the ITT estimate will underestimate the biological efficacy of the drug.</w:t>
      </w:r>
    </w:p>
    <w:p>
      <w:pPr>
        <w:pStyle w:val="BodyText"/>
      </w:pPr>
      <w:r>
        <w:rPr>
          <w:b/>
          <w:bCs/>
        </w:rPr>
        <w:t xml:space="preserve">ITT in observational data</w:t>
      </w:r>
      <w:r>
        <w:t xml:space="preserve">:</w:t>
      </w:r>
      <w:r>
        <w:t xml:space="preserve"> </w:t>
      </w:r>
      <w:r>
        <w:t xml:space="preserve">In observational data, there is no randomization, so the concept of</w:t>
      </w:r>
      <w:r>
        <w:t xml:space="preserve"> </w:t>
      </w:r>
      <w:r>
        <w:t xml:space="preserve">“assigned treatment”</w:t>
      </w:r>
      <w:r>
        <w:t xml:space="preserve"> </w:t>
      </w:r>
      <w:r>
        <w:t xml:space="preserve">must be replaced by</w:t>
      </w:r>
      <w:r>
        <w:t xml:space="preserve"> </w:t>
      </w:r>
      <w:r>
        <w:t xml:space="preserve">“treatment initiated.”</w:t>
      </w:r>
      <w:r>
        <w:t xml:space="preserve"> </w:t>
      </w:r>
      <w:r>
        <w:t xml:space="preserve">The closest analogue to the ITT effect in observational data</w:t>
      </w:r>
      <w:r>
        <w:t xml:space="preserve"> </w:t>
      </w:r>
      <w:r>
        <w:t xml:space="preserve">is the</w:t>
      </w:r>
      <w:r>
        <w:t xml:space="preserve"> </w:t>
      </w:r>
      <w:r>
        <w:t xml:space="preserve">“as-initiated”</w:t>
      </w:r>
      <w:r>
        <w:t xml:space="preserve"> </w:t>
      </w:r>
      <w:r>
        <w:t xml:space="preserve">analysis (also called</w:t>
      </w:r>
      <w:r>
        <w:t xml:space="preserve"> </w:t>
      </w:r>
      <w:r>
        <w:t xml:space="preserve">“intent-to-treat”</w:t>
      </w:r>
      <w:r>
        <w:t xml:space="preserve"> </w:t>
      </w:r>
      <w:r>
        <w:t xml:space="preserve">by analogy),</w:t>
      </w:r>
      <w:r>
        <w:t xml:space="preserve"> </w:t>
      </w:r>
      <w:r>
        <w:t xml:space="preserve">which compares outcomes between individuals who initiated treatment versus those who did not,</w:t>
      </w:r>
      <w:r>
        <w:t xml:space="preserve"> </w:t>
      </w:r>
      <w:r>
        <w:t xml:space="preserve">regardless of subsequent adherence.</w:t>
      </w:r>
    </w:p>
    <w:bookmarkEnd w:id="11"/>
    <w:bookmarkStart w:id="12" w:name="X7e17f761a9ba2729fd51fbd8f3b24c20768e30b"/>
    <w:p>
      <w:pPr>
        <w:pStyle w:val="Heading3"/>
      </w:pPr>
      <w:r>
        <w:t xml:space="preserve">1.2 Per-Protocol Analysis in Observational Data</w:t>
      </w:r>
    </w:p>
    <w:p>
      <w:pPr>
        <w:pStyle w:val="FirstParagraph"/>
      </w:pPr>
      <w:r>
        <w:t xml:space="preserve">In observational data, a per-protocol analysis compares individuals</w:t>
      </w:r>
      <w:r>
        <w:t xml:space="preserve"> </w:t>
      </w:r>
      <w:r>
        <w:t xml:space="preserve">who adhered to a specific treatment strategy throughout follow-up.</w:t>
      </w:r>
      <w:r>
        <w:t xml:space="preserve"> </w:t>
      </w:r>
      <w:r>
        <w:t xml:space="preserve">This is a problem of time-varying treatment:</w:t>
      </w:r>
      <w:r>
        <w:t xml:space="preserve"> </w:t>
      </w:r>
      <w:r>
        <w:t xml:space="preserve">treatment initiation, continuation, and discontinuation all occur over time,</w:t>
      </w:r>
      <w:r>
        <w:t xml:space="preserve"> </w:t>
      </w:r>
      <w:r>
        <w:t xml:space="preserve">and all may be confounded by time-varying covariates.</w:t>
      </w:r>
      <w:r>
        <w:t xml:space="preserve"> </w:t>
      </w:r>
      <w:r>
        <w:t xml:space="preserve">The g-methods of Chapter 21 — particularly IP weighting with censoring weights —</w:t>
      </w:r>
      <w:r>
        <w:t xml:space="preserve"> </w:t>
      </w:r>
      <w:r>
        <w:t xml:space="preserve">are the appropriate tools.</w:t>
      </w:r>
    </w:p>
    <w:bookmarkEnd w:id="12"/>
    <w:bookmarkEnd w:id="13"/>
    <w:bookmarkStart w:id="16" w:name="X247c1eaba48452d9798a5d446d313274d35d927"/>
    <w:p>
      <w:pPr>
        <w:pStyle w:val="Heading2"/>
      </w:pPr>
      <w:r>
        <w:t xml:space="preserve">2 22.2 A Target Trial with Sustained Treatment Strategies (p. 309)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To make the target trial concept concrete, consider a clinical question:</w:t>
      </w:r>
      <w:r>
        <w:t xml:space="preserve"> </w:t>
      </w:r>
      <w:r>
        <w:t xml:space="preserve">“What is the effect of starting and maintaining antiretroviral therapy immediately</w:t>
      </w:r>
      <w:r>
        <w:t xml:space="preserve"> </w:t>
      </w:r>
      <w:r>
        <w:t xml:space="preserve">versus deferring therapy until CD4 count falls below 350 cells/mm³</w:t>
      </w:r>
      <w:r>
        <w:t xml:space="preserve"> </w:t>
      </w:r>
      <w:r>
        <w:t xml:space="preserve">on the five-year risk of AIDS or death in HIV-positive individuals?”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target trial</w:t>
      </w:r>
      <w:r>
        <w:t xml:space="preserve"> </w:t>
      </w:r>
      <w:r>
        <w:t xml:space="preserve">for this question would specify: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4" w:name="exm-target-trial-hiv"/>
          <w:p>
            <w:pPr>
              <w:pStyle w:val="BodyText"/>
            </w:pPr>
            <w:r>
              <w:rPr>
                <w:b/>
                <w:bCs/>
              </w:rPr>
              <w:t xml:space="preserve">Example 1 (Target Trial for ART Timing)</w:t>
            </w:r>
            <w:r>
              <w:t xml:space="preserve"> </w:t>
            </w:r>
            <w:r>
              <w:t xml:space="preserve"> 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350"/>
              <w:gridCol w:w="4569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  <w:r>
                    <w:t xml:space="preserve">Component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Specification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Eligibility criteria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HIV-positive adults with CD4 &gt; 350, no prior ART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Treatment strategies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(1) Initiate ART immediately; (2) Defer until CD4 &lt; 350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Assignment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Random at time zero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Follow-up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From randomization until AIDS, death, or 5 years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Outcome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Composite: AIDS diagnosis or death within 5 years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Causal contrasts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Risk difference, risk ratio, hazard ratio between strategies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Analysis plan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ITT and PP (adjusted for non-adherence via IP weighting)</w:t>
                  </w:r>
                </w:p>
              </w:tc>
            </w:tr>
          </w:tbl>
          <w:bookmarkEnd w:id="14"/>
        </w:tc>
      </w:tr>
    </w:tbl>
    <w:p>
      <w:pPr>
        <w:pStyle w:val="BodyText"/>
      </w:pPr>
      <w:r>
        <w:t xml:space="preserve">The treatment strategies are</w:t>
      </w:r>
      <w:r>
        <w:t xml:space="preserve"> </w:t>
      </w:r>
      <w:r>
        <w:rPr>
          <w:b/>
          <w:bCs/>
        </w:rPr>
        <w:t xml:space="preserve">sustained strategies</w:t>
      </w:r>
      <w:r>
        <w:t xml:space="preserve">:</w:t>
      </w:r>
      <w:r>
        <w:t xml:space="preserve"> </w:t>
      </w:r>
      <w:r>
        <w:t xml:space="preserve">they specify a sequence of treatment decisions over the follow-up period,</w:t>
      </w:r>
      <w:r>
        <w:t xml:space="preserve"> </w:t>
      </w:r>
      <w:r>
        <w:t xml:space="preserve">not just a single decision at baseline.</w:t>
      </w:r>
      <w:r>
        <w:t xml:space="preserve"> </w:t>
      </w:r>
      <w:r>
        <w:t xml:space="preserve">Strategy 1 is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(</w:t>
      </w:r>
      <m:oMath>
        <m:acc>
          <m:accPr>
            <m:chr m:val="‾"/>
          </m:accPr>
          <m:e>
            <m:r>
              <m:t>a</m:t>
            </m:r>
          </m:e>
        </m:acc>
        <m:r>
          <m:rPr>
            <m:sty m:val="p"/>
          </m:rPr>
          <m:t>=</m:t>
        </m:r>
        <m:acc>
          <m:accPr>
            <m:chr m:val="‾"/>
          </m:accPr>
          <m:e>
            <m:r>
              <m:t>1</m:t>
            </m:r>
          </m:e>
        </m:acc>
      </m:oMath>
      <w:r>
        <w:t xml:space="preserve">);</w:t>
      </w:r>
      <w:r>
        <w:t xml:space="preserve"> </w:t>
      </w:r>
      <w:r>
        <w:t xml:space="preserve">strategy 2 is the dynamic strategy</w:t>
      </w:r>
      <w:r>
        <w:t xml:space="preserve"> </w:t>
      </w:r>
      <w:r>
        <w:t xml:space="preserve">“do not treat until CD4 &lt; 350, then treat.”</w:t>
      </w:r>
    </w:p>
    <w:bookmarkStart w:id="15" w:name="why-sustained-strategies-are-important"/>
    <w:p>
      <w:pPr>
        <w:pStyle w:val="Heading3"/>
      </w:pPr>
      <w:r>
        <w:t xml:space="preserve">2.1 Why Sustained Strategies Are Important</w:t>
      </w:r>
    </w:p>
    <w:p>
      <w:pPr>
        <w:pStyle w:val="FirstParagraph"/>
      </w:pPr>
      <w:r>
        <w:t xml:space="preserve">Many real-world clinical interventions involve decisions made repeatedly over time.</w:t>
      </w:r>
      <w:r>
        <w:t xml:space="preserve"> </w:t>
      </w:r>
      <w:r>
        <w:t xml:space="preserve">The causal effect of sustained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versus sustained</w:t>
      </w:r>
      <w:r>
        <w:t xml:space="preserve"> </w:t>
      </w:r>
      <w:r>
        <w:t xml:space="preserve">“never treat”</w:t>
      </w:r>
      <w:r>
        <w:t xml:space="preserve"> </w:t>
      </w:r>
      <w:r>
        <w:t xml:space="preserve">is often different —</w:t>
      </w:r>
      <w:r>
        <w:t xml:space="preserve"> </w:t>
      </w:r>
      <w:r>
        <w:t xml:space="preserve">sometimes radically so — from the effect of a single treatment initiation at baseline.</w:t>
      </w:r>
      <w:r>
        <w:t xml:space="preserve"> </w:t>
      </w:r>
      <w:r>
        <w:t xml:space="preserve">The target trial framework makes this explicit by requiring the analyst to specify</w:t>
      </w:r>
      <w:r>
        <w:t xml:space="preserve"> </w:t>
      </w:r>
      <w:r>
        <w:t xml:space="preserve">what the treatment strategy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over the entire follow-up,</w:t>
      </w:r>
      <w:r>
        <w:t xml:space="preserve"> </w:t>
      </w:r>
      <w:r>
        <w:t xml:space="preserve">not just at the moment of treatment initiation.</w:t>
      </w:r>
    </w:p>
    <w:p>
      <w:pPr>
        <w:pStyle w:val="BodyText"/>
      </w:pPr>
      <w:r>
        <w:rPr>
          <w:b/>
          <w:bCs/>
        </w:rPr>
        <w:t xml:space="preserve">Active comparator designs</w:t>
      </w:r>
      <w:r>
        <w:t xml:space="preserve">:</w:t>
      </w:r>
    </w:p>
    <w:p>
      <w:pPr>
        <w:pStyle w:val="BodyText"/>
      </w:pPr>
      <w:r>
        <w:t xml:space="preserve">A well-designed target trial uses</w:t>
      </w:r>
      <w:r>
        <w:t xml:space="preserve"> </w:t>
      </w:r>
      <w:r>
        <w:rPr>
          <w:b/>
          <w:bCs/>
        </w:rPr>
        <w:t xml:space="preserve">active comparators</w:t>
      </w:r>
      <w:r>
        <w:t xml:space="preserve"> </w:t>
      </w:r>
      <w:r>
        <w:t xml:space="preserve">rather than comparing treated</w:t>
      </w:r>
      <w:r>
        <w:t xml:space="preserve"> </w:t>
      </w:r>
      <w:r>
        <w:t xml:space="preserve">to completely untreated individuals.</w:t>
      </w:r>
      <w:r>
        <w:t xml:space="preserve"> </w:t>
      </w:r>
      <w:r>
        <w:t xml:space="preserve">The</w:t>
      </w:r>
      <w:r>
        <w:t xml:space="preserve"> </w:t>
      </w:r>
      <w:r>
        <w:t xml:space="preserve">“new user, active comparator”</w:t>
      </w:r>
      <w:r>
        <w:t xml:space="preserve"> </w:t>
      </w:r>
      <w:r>
        <w:t xml:space="preserve">design, in which both strategies begin treatment</w:t>
      </w:r>
      <w:r>
        <w:t xml:space="preserve"> </w:t>
      </w:r>
      <w:r>
        <w:t xml:space="preserve">(just of different types or at different thresholds), tends to produce better-calibrated</w:t>
      </w:r>
      <w:r>
        <w:t xml:space="preserve"> </w:t>
      </w:r>
      <w:r>
        <w:t xml:space="preserve">observational estimates because it more closely mirrors the actual clinical decision.</w:t>
      </w:r>
      <w:r>
        <w:t xml:space="preserve"> </w:t>
      </w:r>
      <w:r>
        <w:t xml:space="preserve">Comparing new users of drug A to non-users of any drug conflates the effect of drug A</w:t>
      </w:r>
      <w:r>
        <w:t xml:space="preserve"> </w:t>
      </w:r>
      <w:r>
        <w:t xml:space="preserve">with the effect of the clinical decision to initiate any treatment.</w:t>
      </w:r>
    </w:p>
    <w:p>
      <w:pPr>
        <w:pStyle w:val="BodyText"/>
      </w:pPr>
      <w:r>
        <w:rPr>
          <w:b/>
          <w:bCs/>
        </w:rPr>
        <w:t xml:space="preserve">Intention-to-treat in the target trial</w:t>
      </w:r>
      <w:r>
        <w:t xml:space="preserve">:</w:t>
      </w:r>
      <w:r>
        <w:t xml:space="preserve"> </w:t>
      </w:r>
      <w:r>
        <w:t xml:space="preserve">The target trial ITT effect compares individuals by their</w:t>
      </w:r>
      <w:r>
        <w:t xml:space="preserve"> </w:t>
      </w:r>
      <w:r>
        <w:rPr>
          <w:i/>
          <w:iCs/>
        </w:rPr>
        <w:t xml:space="preserve">assigned</w:t>
      </w:r>
      <w:r>
        <w:t xml:space="preserve"> </w:t>
      </w:r>
      <w:r>
        <w:t xml:space="preserve">strategy at time zero,</w:t>
      </w:r>
      <w:r>
        <w:t xml:space="preserve"> </w:t>
      </w:r>
      <w:r>
        <w:t xml:space="preserve">regardless of subsequent deviations.</w:t>
      </w:r>
      <w:r>
        <w:t xml:space="preserve"> </w:t>
      </w:r>
      <w:r>
        <w:t xml:space="preserve">In the emulation with observational data, this translates to comparing individuals</w:t>
      </w:r>
      <w:r>
        <w:t xml:space="preserve"> </w:t>
      </w:r>
      <w:r>
        <w:t xml:space="preserve">by their</w:t>
      </w:r>
      <w:r>
        <w:t xml:space="preserve"> </w:t>
      </w:r>
      <w:r>
        <w:rPr>
          <w:i/>
          <w:iCs/>
        </w:rPr>
        <w:t xml:space="preserve">actual</w:t>
      </w:r>
      <w:r>
        <w:t xml:space="preserve"> </w:t>
      </w:r>
      <w:r>
        <w:t xml:space="preserve">treatment initiation at time zero,</w:t>
      </w:r>
      <w:r>
        <w:t xml:space="preserve"> </w:t>
      </w:r>
      <w:r>
        <w:t xml:space="preserve">ignoring later changes in treatment.</w:t>
      </w:r>
      <w:r>
        <w:t xml:space="preserve"> </w:t>
      </w:r>
      <w:r>
        <w:t xml:space="preserve">This is easier to implement but often not the most clinically relevant estimand.</w:t>
      </w:r>
    </w:p>
    <w:bookmarkEnd w:id="15"/>
    <w:bookmarkEnd w:id="16"/>
    <w:bookmarkStart w:id="19" w:name="X734dc8e0c51d56d14c679c837e3fcafd460c4b5"/>
    <w:p>
      <w:pPr>
        <w:pStyle w:val="Heading2"/>
      </w:pPr>
      <w:r>
        <w:t xml:space="preserve">3 22.3 Emulating a Target Trial with Sustained Strategies (p. 313)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Emulating the target trial means reproducing each component</w:t>
      </w:r>
      <w:r>
        <w:t xml:space="preserve"> </w:t>
      </w:r>
      <w:r>
        <w:t xml:space="preserve">of the trial specification using observational data.</w:t>
      </w:r>
    </w:p>
    <w:bookmarkStart w:id="17" w:name="emulating-each-component"/>
    <w:p>
      <w:pPr>
        <w:pStyle w:val="Heading3"/>
      </w:pPr>
      <w:r>
        <w:t xml:space="preserve">3.1 Emulating Each Component</w:t>
      </w:r>
    </w:p>
    <w:p>
      <w:pPr>
        <w:pStyle w:val="FirstParagraph"/>
      </w:pPr>
      <w:r>
        <w:rPr>
          <w:b/>
          <w:bCs/>
        </w:rPr>
        <w:t xml:space="preserve">Eligibility criteria</w:t>
      </w:r>
      <w:r>
        <w:t xml:space="preserve">: Apply the same eligibility criteria</w:t>
      </w:r>
      <w:r>
        <w:t xml:space="preserve"> </w:t>
      </w:r>
      <w:r>
        <w:t xml:space="preserve">to the observational cohort as would have been used in the trial</w:t>
      </w:r>
      <w:r>
        <w:t xml:space="preserve"> </w:t>
      </w:r>
      <w:r>
        <w:t xml:space="preserve">(e.g., HIV-positive, CD4 &gt; 350, no prior ART).</w:t>
      </w:r>
      <w:r>
        <w:t xml:space="preserve"> </w:t>
      </w:r>
      <w:r>
        <w:t xml:space="preserve">Any individual who meets the criteria at some calendar time can serve as a</w:t>
      </w:r>
      <w:r>
        <w:t xml:space="preserve"> </w:t>
      </w:r>
      <w:r>
        <w:t xml:space="preserve">“trial participant”</w:t>
      </w:r>
      <w:r>
        <w:t xml:space="preserve"> </w:t>
      </w:r>
      <w:r>
        <w:t xml:space="preserve">at that time, creating</w:t>
      </w:r>
      <w:r>
        <w:t xml:space="preserve"> </w:t>
      </w:r>
      <w:r>
        <w:rPr>
          <w:b/>
          <w:bCs/>
        </w:rPr>
        <w:t xml:space="preserve">sequential trials</w:t>
      </w:r>
      <w:r>
        <w:t xml:space="preserve"> </w:t>
      </w:r>
      <w:r>
        <w:t xml:space="preserve">(discussed in Section 22.4).</w:t>
      </w:r>
    </w:p>
    <w:p>
      <w:pPr>
        <w:pStyle w:val="BodyText"/>
      </w:pPr>
      <w:r>
        <w:rPr>
          <w:b/>
          <w:bCs/>
        </w:rPr>
        <w:t xml:space="preserve">Treatment strategies</w:t>
      </w:r>
      <w:r>
        <w:t xml:space="preserve">: Observe which individuals followed the target strategies</w:t>
      </w:r>
      <w:r>
        <w:t xml:space="preserve"> </w:t>
      </w:r>
      <w:r>
        <w:t xml:space="preserve">(initiated immediately or waited until CD4 &lt; 350).</w:t>
      </w:r>
      <w:r>
        <w:t xml:space="preserve"> </w:t>
      </w:r>
      <w:r>
        <w:t xml:space="preserve">For the per-protocol analysis, censor individuals when they deviate from the strategy.</w:t>
      </w:r>
    </w:p>
    <w:p>
      <w:pPr>
        <w:pStyle w:val="BodyText"/>
      </w:pPr>
      <w:r>
        <w:rPr>
          <w:b/>
          <w:bCs/>
        </w:rPr>
        <w:t xml:space="preserve">Assignment mechanism</w:t>
      </w:r>
      <w:r>
        <w:t xml:space="preserve">: In the trial, assignment is random.</w:t>
      </w:r>
      <w:r>
        <w:t xml:space="preserve"> </w:t>
      </w:r>
      <w:r>
        <w:t xml:space="preserve">In the emulation, treatment initiation is not random — it depends on measured</w:t>
      </w:r>
      <w:r>
        <w:t xml:space="preserve"> </w:t>
      </w:r>
      <w:r>
        <w:t xml:space="preserve">and unmeasured clinical characteristics.</w:t>
      </w:r>
      <w:r>
        <w:t xml:space="preserve"> </w:t>
      </w:r>
      <w:r>
        <w:t xml:space="preserve">Sequential exchangeability (conditional on measured covariates) is the identifying assumption.</w:t>
      </w:r>
    </w:p>
    <w:p>
      <w:pPr>
        <w:pStyle w:val="BodyText"/>
      </w:pPr>
      <w:r>
        <w:rPr>
          <w:b/>
          <w:bCs/>
        </w:rPr>
        <w:t xml:space="preserve">Follow-up and outcome</w:t>
      </w:r>
      <w:r>
        <w:t xml:space="preserve">: Use the same outcome definition and follow-up rules</w:t>
      </w:r>
      <w:r>
        <w:t xml:space="preserve"> </w:t>
      </w:r>
      <w:r>
        <w:t xml:space="preserve">as specified in the target trial.</w:t>
      </w:r>
      <w:r>
        <w:t xml:space="preserve"> </w:t>
      </w:r>
      <w:r>
        <w:t xml:space="preserve">Informative censoring (due to loss to follow-up or deviating from protocol)</w:t>
      </w:r>
      <w:r>
        <w:t xml:space="preserve"> </w:t>
      </w:r>
      <w:r>
        <w:t xml:space="preserve">is handled via censoring IP weights.</w:t>
      </w:r>
    </w:p>
    <w:p>
      <w:pPr>
        <w:pStyle w:val="BodyText"/>
      </w:pPr>
      <w:r>
        <w:rPr>
          <w:b/>
          <w:bCs/>
        </w:rPr>
        <w:t xml:space="preserve">Analysis</w:t>
      </w:r>
      <w:r>
        <w:t xml:space="preserve">: Apply the g-methods of Chapter 21.</w:t>
      </w:r>
      <w:r>
        <w:t xml:space="preserve"> </w:t>
      </w:r>
      <w:r>
        <w:t xml:space="preserve">For the ITT analysis, compare the two initiation groups without adjustment for post-baseline treatment.</w:t>
      </w:r>
      <w:r>
        <w:t xml:space="preserve"> </w:t>
      </w:r>
      <w:r>
        <w:t xml:space="preserve">For the PP analysis, use IP weighting to adjust for time-varying confounders of adherence.</w:t>
      </w:r>
    </w:p>
    <w:p>
      <w:pPr>
        <w:pStyle w:val="BodyText"/>
      </w:pPr>
      <w:r>
        <w:rPr>
          <w:b/>
          <w:bCs/>
        </w:rPr>
        <w:t xml:space="preserve">Why emulation is not trivial</w:t>
      </w:r>
      <w:r>
        <w:t xml:space="preserve">:</w:t>
      </w:r>
    </w:p>
    <w:p>
      <w:pPr>
        <w:pStyle w:val="BodyText"/>
      </w:pPr>
      <w:r>
        <w:t xml:space="preserve">Each component of the target trial introduces potential sources of bias when emulated</w:t>
      </w:r>
      <w:r>
        <w:t xml:space="preserve"> </w:t>
      </w:r>
      <w:r>
        <w:t xml:space="preserve">with observational data: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Eligibility criteria</w:t>
      </w:r>
      <w:r>
        <w:t xml:space="preserve">: Selecting a</w:t>
      </w:r>
      <w:r>
        <w:t xml:space="preserve"> </w:t>
      </w:r>
      <w:r>
        <w:t xml:space="preserve">“baseline”</w:t>
      </w:r>
      <w:r>
        <w:t xml:space="preserve"> </w:t>
      </w:r>
      <w:r>
        <w:t xml:space="preserve">requires defining a point in time</w:t>
      </w:r>
      <w:r>
        <w:t xml:space="preserve"> </w:t>
      </w:r>
      <w:r>
        <w:t xml:space="preserve">that matches the trial’s entry criterion.</w:t>
      </w:r>
      <w:r>
        <w:t xml:space="preserve"> </w:t>
      </w:r>
      <w:r>
        <w:t xml:space="preserve">In longitudinal databases this may be complex (see time zero, Section 22.4).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Treatment strategies</w:t>
      </w:r>
      <w:r>
        <w:t xml:space="preserve">: Real-world treatment patterns may not map cleanly</w:t>
      </w:r>
      <w:r>
        <w:t xml:space="preserve"> </w:t>
      </w:r>
      <w:r>
        <w:t xml:space="preserve">onto trial strategies; grace periods and adherence windows are needed.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Confounding</w:t>
      </w:r>
      <w:r>
        <w:t xml:space="preserve">: The absence of randomization requires adjustment for baseline</w:t>
      </w:r>
      <w:r>
        <w:t xml:space="preserve"> </w:t>
      </w:r>
      <w:r>
        <w:t xml:space="preserve">and time-varying confounders, introducing the challenges of Chapters 19–21.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Outcome ascertainment</w:t>
      </w:r>
      <w:r>
        <w:t xml:space="preserve">: Administrative data may under-code events,</w:t>
      </w:r>
      <w:r>
        <w:t xml:space="preserve"> </w:t>
      </w:r>
      <w:r>
        <w:t xml:space="preserve">requiring validation studies.</w:t>
      </w:r>
    </w:p>
    <w:bookmarkEnd w:id="17"/>
    <w:bookmarkStart w:id="18" w:name="X465edcb69a34ad4c0d5ba9ea1e6084161a32cb9"/>
    <w:p>
      <w:pPr>
        <w:pStyle w:val="Heading3"/>
      </w:pPr>
      <w:r>
        <w:t xml:space="preserve">3.2 The Per-Protocol Estimand in the Emulation</w:t>
      </w:r>
    </w:p>
    <w:p>
      <w:pPr>
        <w:pStyle w:val="FirstParagraph"/>
      </w:pPr>
      <w:r>
        <w:t xml:space="preserve">In the emulation, the PP analysis requires censoring participants</w:t>
      </w:r>
      <w:r>
        <w:t xml:space="preserve"> </w:t>
      </w:r>
      <w:r>
        <w:t xml:space="preserve">when they deviate from their</w:t>
      </w:r>
      <w:r>
        <w:t xml:space="preserve"> </w:t>
      </w:r>
      <w:r>
        <w:t xml:space="preserve">“assigned”</w:t>
      </w:r>
      <w:r>
        <w:t xml:space="preserve"> </w:t>
      </w:r>
      <w:r>
        <w:t xml:space="preserve">strategy</w:t>
      </w:r>
      <w:r>
        <w:t xml:space="preserve"> </w:t>
      </w:r>
      <w:r>
        <w:t xml:space="preserve">(the strategy they were on at time zero).</w:t>
      </w:r>
      <w:r>
        <w:t xml:space="preserve"> </w:t>
      </w:r>
      <w:r>
        <w:t xml:space="preserve">For example, under strategy 2 (</w:t>
      </w:r>
      <w:r>
        <w:t xml:space="preserve">“defer ART until CD4 &lt; 350”</w:t>
      </w:r>
      <w:r>
        <w:t xml:space="preserve">),</w:t>
      </w:r>
      <w:r>
        <w:t xml:space="preserve"> </w:t>
      </w:r>
      <w:r>
        <w:t xml:space="preserve">a participant is censored if they initiate ART before their CD4 reaches 350.</w:t>
      </w:r>
      <w:r>
        <w:t xml:space="preserve"> </w:t>
      </w:r>
      <w:r>
        <w:t xml:space="preserve">This censoring is informative — sicker patients are more likely to start ART early —</w:t>
      </w:r>
      <w:r>
        <w:t xml:space="preserve"> </w:t>
      </w:r>
      <w:r>
        <w:t xml:space="preserve">so censoring IP weights are needed.</w:t>
      </w:r>
    </w:p>
    <w:p>
      <w:pPr>
        <w:pStyle w:val="BodyText"/>
      </w:pPr>
      <w:r>
        <w:t xml:space="preserve">The per-protocol analysis thus requires:</w:t>
      </w:r>
    </w:p>
    <w:p>
      <w:pPr>
        <w:pStyle w:val="Compact"/>
        <w:numPr>
          <w:ilvl w:val="0"/>
          <w:numId w:val="1002"/>
        </w:numPr>
      </w:pPr>
      <w:r>
        <w:t xml:space="preserve">Unstabilized or stabilized treatment IP weights (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),</w:t>
      </w:r>
      <w:r>
        <w:t xml:space="preserve"> </w:t>
      </w:r>
      <w:r>
        <w:t xml:space="preserve">to adjust for confounding of treatment decisions.</w:t>
      </w:r>
    </w:p>
    <w:p>
      <w:pPr>
        <w:pStyle w:val="Compact"/>
        <w:numPr>
          <w:ilvl w:val="0"/>
          <w:numId w:val="1002"/>
        </w:numPr>
      </w:pPr>
      <w:r>
        <w:t xml:space="preserve">Censoring IP weights (</w:t>
      </w:r>
      <m:oMath>
        <m:r>
          <m:t>S</m:t>
        </m:r>
        <m:sSup>
          <m:e>
            <m:r>
              <m:t>W</m:t>
            </m:r>
          </m:e>
          <m:sup>
            <m:r>
              <m:t>C</m:t>
            </m:r>
          </m:sup>
        </m:sSup>
      </m:oMath>
      <w:r>
        <w:t xml:space="preserve">),</w:t>
      </w:r>
      <w:r>
        <w:t xml:space="preserve"> </w:t>
      </w:r>
      <w:r>
        <w:t xml:space="preserve">to adjust for selection bias from protocol deviations.</w:t>
      </w:r>
    </w:p>
    <w:p>
      <w:pPr>
        <w:pStyle w:val="Compact"/>
        <w:numPr>
          <w:ilvl w:val="0"/>
          <w:numId w:val="1002"/>
        </w:numPr>
      </w:pPr>
      <w:r>
        <w:t xml:space="preserve">A MSM or g-formula to estimate the counterfactual mean outcome.</w:t>
      </w:r>
    </w:p>
    <w:bookmarkEnd w:id="18"/>
    <w:bookmarkEnd w:id="19"/>
    <w:bookmarkStart w:id="24" w:name="time-zero-p.-315"/>
    <w:p>
      <w:pPr>
        <w:pStyle w:val="Heading2"/>
      </w:pPr>
      <w:r>
        <w:t xml:space="preserve">4 22.4 Time Zero (p. 315)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Time zero</w:t>
      </w:r>
      <w:r>
        <w:t xml:space="preserve"> </w:t>
      </w:r>
      <w:r>
        <w:t xml:space="preserve">— the moment at which follow-up begins for each individual —</w:t>
      </w:r>
      <w:r>
        <w:t xml:space="preserve"> </w:t>
      </w:r>
      <w:r>
        <w:t xml:space="preserve">is one of the most consequential choices in any observational study.</w:t>
      </w:r>
      <w:r>
        <w:t xml:space="preserve"> </w:t>
      </w:r>
      <w:r>
        <w:t xml:space="preserve">Errors in defining time zero are responsible for a large class of systematic biases</w:t>
      </w:r>
      <w:r>
        <w:t xml:space="preserve"> </w:t>
      </w:r>
      <w:r>
        <w:t xml:space="preserve">in the observational literature.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0" w:name="def-time-zero"/>
          <w:p>
            <w:pPr>
              <w:pStyle w:val="BodyText"/>
            </w:pPr>
            <w:r>
              <w:rPr>
                <w:b/>
                <w:bCs/>
              </w:rPr>
              <w:t xml:space="preserve">Definition 3 (Time Zero)</w:t>
            </w:r>
            <w:r>
              <w:t xml:space="preserve"> </w:t>
            </w:r>
            <w:r>
              <w:t xml:space="preserve">Time zero for an individual is the point in calendar time at which: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The individual meets the eligibility criteria of the target trial.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The individual’s treatment strategy is assigned (or, in the emulation, observed).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Follow-up for outcomes begins.</w:t>
            </w:r>
          </w:p>
          <w:p>
            <w:pPr>
              <w:pStyle w:val="FirstParagraph"/>
            </w:pPr>
            <w:r>
              <w:t xml:space="preserve">All three conditions must be satisfied simultaneously at time zero.</w:t>
            </w:r>
          </w:p>
          <w:bookmarkEnd w:id="20"/>
        </w:tc>
      </w:tr>
    </w:tbl>
    <w:bookmarkStart w:id="22" w:name="immortal-time-bias"/>
    <w:p>
      <w:pPr>
        <w:pStyle w:val="Heading3"/>
      </w:pPr>
      <w:r>
        <w:t xml:space="preserve">4.1 Immortal Time Bias</w:t>
      </w:r>
    </w:p>
    <w:p>
      <w:pPr>
        <w:pStyle w:val="FirstParagraph"/>
      </w:pPr>
      <w:r>
        <w:rPr>
          <w:b/>
          <w:bCs/>
        </w:rPr>
        <w:t xml:space="preserve">Immortal time bias</w:t>
      </w:r>
      <w:r>
        <w:t xml:space="preserve"> </w:t>
      </w:r>
      <w:r>
        <w:t xml:space="preserve">arises when there is a period of follow-up before time zero</w:t>
      </w:r>
      <w:r>
        <w:t xml:space="preserve"> </w:t>
      </w:r>
      <w:r>
        <w:t xml:space="preserve">during which individuals cannot experience the outcome by design</w:t>
      </w:r>
      <w:r>
        <w:t xml:space="preserve"> </w:t>
      </w:r>
      <w:r>
        <w:t xml:space="preserve">(because they must survive to meet the eligibility criterion or to be</w:t>
      </w:r>
      <w:r>
        <w:t xml:space="preserve"> </w:t>
      </w:r>
      <w:r>
        <w:t xml:space="preserve">“assigned”</w:t>
      </w:r>
      <w:r>
        <w:t xml:space="preserve">).</w:t>
      </w:r>
      <w:r>
        <w:t xml:space="preserve"> </w:t>
      </w:r>
      <w:r>
        <w:t xml:space="preserve">If this immortal time is misclassified — for example, attributed to the treated group</w:t>
      </w:r>
      <w:r>
        <w:t xml:space="preserve"> </w:t>
      </w:r>
      <w:r>
        <w:t xml:space="preserve">when it actually preceded treatment initiation — the treated group appears to have</w:t>
      </w:r>
      <w:r>
        <w:t xml:space="preserve"> </w:t>
      </w:r>
      <w:r>
        <w:t xml:space="preserve">better outcomes simply because they could not have died during the immortal period.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1" w:name="exm-immortal-time"/>
          <w:p>
            <w:pPr>
              <w:pStyle w:val="BodyText"/>
            </w:pPr>
            <w:r>
              <w:rPr>
                <w:b/>
                <w:bCs/>
              </w:rPr>
              <w:t xml:space="preserve">Example 2 (Immortal Time Bias: Statin and Mortality)</w:t>
            </w:r>
            <w:r>
              <w:t xml:space="preserve"> </w:t>
            </w:r>
            <w:r>
              <w:t xml:space="preserve">Suppose we study whether statin use reduces mortality using an insurance claims database.</w:t>
            </w:r>
            <w:r>
              <w:t xml:space="preserve"> </w:t>
            </w:r>
            <w:r>
              <w:t xml:space="preserve">We define</w:t>
            </w:r>
            <w:r>
              <w:t xml:space="preserve"> </w:t>
            </w:r>
            <w:r>
              <w:t xml:space="preserve">“statin users”</w:t>
            </w:r>
            <w:r>
              <w:t xml:space="preserve"> </w:t>
            </w:r>
            <w:r>
              <w:t xml:space="preserve">as individuals who filled a statin prescription at any point</w:t>
            </w:r>
            <w:r>
              <w:t xml:space="preserve"> </w:t>
            </w:r>
            <w:r>
              <w:t xml:space="preserve">during a one-year observation window,</w:t>
            </w:r>
            <w:r>
              <w:t xml:space="preserve"> </w:t>
            </w:r>
            <w:r>
              <w:t xml:space="preserve">and we compare their mortality during that year to</w:t>
            </w:r>
            <w:r>
              <w:t xml:space="preserve"> </w:t>
            </w:r>
            <w:r>
              <w:t xml:space="preserve">“non-users.”</w:t>
            </w:r>
          </w:p>
          <w:p>
            <w:pPr>
              <w:pStyle w:val="BodyText"/>
            </w:pPr>
            <w:r>
              <w:t xml:space="preserve">Individuals who died in the first week cannot fill a prescription, so they are automatically</w:t>
            </w:r>
            <w:r>
              <w:t xml:space="preserve"> </w:t>
            </w:r>
            <w:r>
              <w:t xml:space="preserve">in the non-user group.</w:t>
            </w:r>
            <w:r>
              <w:t xml:space="preserve"> </w:t>
            </w:r>
            <w:r>
              <w:t xml:space="preserve">Statin users, by definition, survived long enough to fill a prescription.</w:t>
            </w:r>
            <w:r>
              <w:t xml:space="preserve"> </w:t>
            </w:r>
            <w:r>
              <w:t xml:space="preserve">This immortal time — the gap between study entry and first prescription —</w:t>
            </w:r>
            <w:r>
              <w:t xml:space="preserve"> </w:t>
            </w:r>
            <w:r>
              <w:t xml:space="preserve">is misattributed to the treated group, inducing a spurious survival advantage.</w:t>
            </w:r>
          </w:p>
          <w:bookmarkEnd w:id="21"/>
        </w:tc>
      </w:tr>
    </w:tbl>
    <w:bookmarkEnd w:id="22"/>
    <w:bookmarkStart w:id="23" w:name="sequential-trials"/>
    <w:p>
      <w:pPr>
        <w:pStyle w:val="Heading3"/>
      </w:pPr>
      <w:r>
        <w:t xml:space="preserve">4.2 Sequential Trials</w:t>
      </w:r>
    </w:p>
    <w:p>
      <w:pPr>
        <w:pStyle w:val="FirstParagraph"/>
      </w:pPr>
      <w:r>
        <w:t xml:space="preserve">One practical approach to correct time zero assignment in observational databases</w:t>
      </w:r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sequential trials</w:t>
      </w:r>
      <w:r>
        <w:t xml:space="preserve"> </w:t>
      </w:r>
      <w:r>
        <w:t xml:space="preserve">design:</w:t>
      </w:r>
      <w:r>
        <w:t xml:space="preserve"> </w:t>
      </w:r>
      <w:r>
        <w:t xml:space="preserve">for each calendar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at which individuals satisfy the eligibility criteria,</w:t>
      </w:r>
      <w:r>
        <w:t xml:space="preserve"> </w:t>
      </w:r>
      <w:r>
        <w:t xml:space="preserve">we create a separate</w:t>
      </w:r>
      <w:r>
        <w:t xml:space="preserve"> </w:t>
      </w:r>
      <w:r>
        <w:t xml:space="preserve">“trial”</w:t>
      </w:r>
      <w:r>
        <w:t xml:space="preserve"> </w:t>
      </w:r>
      <w:r>
        <w:t xml:space="preserve">with time zero at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w:r>
        <w:t xml:space="preserve">Individuals can appear in multiple such trials (each with a different time zero)</w:t>
      </w:r>
      <w:r>
        <w:t xml:space="preserve"> </w:t>
      </w:r>
      <w:r>
        <w:t xml:space="preserve">and their data are then pooled across all trials with appropriate adjustment</w:t>
      </w:r>
      <w:r>
        <w:t xml:space="preserve"> </w:t>
      </w:r>
      <w:r>
        <w:t xml:space="preserve">for the time-varying covariates at each trial’s time zero.</w:t>
      </w:r>
    </w:p>
    <w:p>
      <w:pPr>
        <w:pStyle w:val="BodyText"/>
      </w:pPr>
      <w:r>
        <w:t xml:space="preserve">This design ensures that each participant’s follow-up genuinely begins</w:t>
      </w:r>
      <w:r>
        <w:t xml:space="preserve"> </w:t>
      </w:r>
      <w:r>
        <w:t xml:space="preserve">at the moment of eligibility and strategy assignment,</w:t>
      </w:r>
      <w:r>
        <w:t xml:space="preserve"> </w:t>
      </w:r>
      <w:r>
        <w:t xml:space="preserve">eliminating immortal time bias by construction.</w:t>
      </w:r>
    </w:p>
    <w:p>
      <w:pPr>
        <w:pStyle w:val="BodyText"/>
      </w:pPr>
      <w:r>
        <w:rPr>
          <w:b/>
          <w:bCs/>
        </w:rPr>
        <w:t xml:space="preserve">Prevalent user bias</w:t>
      </w:r>
      <w:r>
        <w:t xml:space="preserve">:</w:t>
      </w:r>
    </w:p>
    <w:p>
      <w:pPr>
        <w:pStyle w:val="BodyText"/>
      </w:pPr>
      <w:r>
        <w:t xml:space="preserve">A related problem arises when including individuals who are already on treatment</w:t>
      </w:r>
      <w:r>
        <w:t xml:space="preserve"> </w:t>
      </w:r>
      <w:r>
        <w:t xml:space="preserve">at the start of the observation window, rather than restricting to</w:t>
      </w:r>
      <w:r>
        <w:t xml:space="preserve"> </w:t>
      </w:r>
      <w:r>
        <w:rPr>
          <w:b/>
          <w:bCs/>
        </w:rPr>
        <w:t xml:space="preserve">new users</w:t>
      </w:r>
      <w:r>
        <w:t xml:space="preserve">.</w:t>
      </w:r>
      <w:r>
        <w:t xml:space="preserve"> </w:t>
      </w:r>
      <w:r>
        <w:t xml:space="preserve">Prevalent users have survived on treatment long enough to be observed —</w:t>
      </w:r>
      <w:r>
        <w:t xml:space="preserve"> </w:t>
      </w:r>
      <w:r>
        <w:t xml:space="preserve">they are a selected, healthier subset of all who ever initiated treatment.</w:t>
      </w:r>
      <w:r>
        <w:t xml:space="preserve"> </w:t>
      </w:r>
      <w:r>
        <w:t xml:space="preserve">Comparing prevalent users to never-users confounds the treatment effect</w:t>
      </w:r>
      <w:r>
        <w:t xml:space="preserve"> </w:t>
      </w:r>
      <w:r>
        <w:t xml:space="preserve">with the selective survival required to be a prevalent user.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new user design</w:t>
      </w:r>
      <w:r>
        <w:t xml:space="preserve"> </w:t>
      </w:r>
      <w:r>
        <w:t xml:space="preserve">(also called the active comparator, new user design)</w:t>
      </w:r>
      <w:r>
        <w:t xml:space="preserve"> </w:t>
      </w:r>
      <w:r>
        <w:t xml:space="preserve">restricts to individuals who recently initiated treatment,</w:t>
      </w:r>
      <w:r>
        <w:t xml:space="preserve"> </w:t>
      </w:r>
      <w:r>
        <w:t xml:space="preserve">eliminating prevalent user bias and aligning the observational study</w:t>
      </w:r>
      <w:r>
        <w:t xml:space="preserve"> </w:t>
      </w:r>
      <w:r>
        <w:t xml:space="preserve">more closely with a randomized trial.</w:t>
      </w:r>
    </w:p>
    <w:bookmarkEnd w:id="23"/>
    <w:bookmarkEnd w:id="24"/>
    <w:bookmarkStart w:id="27" w:name="Xb5a917b96855496bcee93b2a0d487094ac830ec"/>
    <w:p>
      <w:pPr>
        <w:pStyle w:val="Heading2"/>
      </w:pPr>
      <w:r>
        <w:t xml:space="preserve">5 22.5 A Unified Approach to Answering What If Questions with Data (p. 317)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target trial emulation framework provides a unifying conceptual scaffolding</w:t>
      </w:r>
      <w:r>
        <w:t xml:space="preserve"> </w:t>
      </w:r>
      <w:r>
        <w:t xml:space="preserve">for all observational causal inference: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Specify</w:t>
      </w:r>
      <w:r>
        <w:t xml:space="preserve"> </w:t>
      </w:r>
      <w:r>
        <w:t xml:space="preserve">the target trial — the idealized randomized experiment</w:t>
      </w:r>
      <w:r>
        <w:t xml:space="preserve"> </w:t>
      </w:r>
      <w:r>
        <w:t xml:space="preserve">that would answer the causal question.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Identify</w:t>
      </w:r>
      <w:r>
        <w:t xml:space="preserve"> </w:t>
      </w:r>
      <w:r>
        <w:t xml:space="preserve">the components of the target trial that can be emulated</w:t>
      </w:r>
      <w:r>
        <w:t xml:space="preserve"> </w:t>
      </w:r>
      <w:r>
        <w:t xml:space="preserve">with the available observational data, and those that cannot.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Apply</w:t>
      </w:r>
      <w:r>
        <w:t xml:space="preserve"> </w:t>
      </w:r>
      <w:r>
        <w:t xml:space="preserve">the appropriate g-method to estimate the trial’s estimand</w:t>
      </w:r>
      <w:r>
        <w:t xml:space="preserve"> </w:t>
      </w:r>
      <w:r>
        <w:t xml:space="preserve">from the observational data under the required identifying assumptions.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Conduct</w:t>
      </w:r>
      <w:r>
        <w:t xml:space="preserve"> </w:t>
      </w:r>
      <w:r>
        <w:t xml:space="preserve">sensitivity analyses to assess the robustness of conclusions</w:t>
      </w:r>
      <w:r>
        <w:t xml:space="preserve"> </w:t>
      </w:r>
      <w:r>
        <w:t xml:space="preserve">to violations of the identifying assumptions.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5" w:name="thm-target-trial-unification"/>
          <w:p>
            <w:pPr>
              <w:pStyle w:val="BodyText"/>
            </w:pPr>
            <w:r>
              <w:rPr>
                <w:b/>
                <w:bCs/>
              </w:rPr>
              <w:t xml:space="preserve">Theorem 1 (The Target Trial as a Unifying Framework)</w:t>
            </w:r>
            <w:r>
              <w:t xml:space="preserve"> </w:t>
            </w:r>
            <w:r>
              <w:t xml:space="preserve">Any causal question about a medical or social intervention can be expressed</w:t>
            </w:r>
            <w:r>
              <w:t xml:space="preserve"> </w:t>
            </w:r>
            <w:r>
              <w:t xml:space="preserve">as a target trial with: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Eligibility criteria defining the target population.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Treatment strategies defining the interventions to compare.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A time zero aligning eligibility, assignment, and follow-up.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An outcome and follow-up period.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An analysis plan (ITT, PP, or both).</w:t>
            </w:r>
          </w:p>
          <w:p>
            <w:pPr>
              <w:pStyle w:val="FirstParagraph"/>
            </w:pPr>
            <w:r>
              <w:t xml:space="preserve">The choice of g-method (g-formula, IP weighting, g-estimation) is secondary —</w:t>
            </w:r>
            <w:r>
              <w:t xml:space="preserve"> </w:t>
            </w:r>
            <w:r>
              <w:t xml:space="preserve">what matters is first getting the trial specification right.</w:t>
            </w:r>
          </w:p>
          <w:bookmarkEnd w:id="25"/>
        </w:tc>
      </w:tr>
    </w:tbl>
    <w:bookmarkStart w:id="26" w:name="benefits-of-the-target-trial-approach"/>
    <w:p>
      <w:pPr>
        <w:pStyle w:val="Heading3"/>
      </w:pPr>
      <w:r>
        <w:t xml:space="preserve">5.1 Benefits of the Target Trial Approach</w:t>
      </w:r>
    </w:p>
    <w:p>
      <w:pPr>
        <w:pStyle w:val="FirstParagraph"/>
      </w:pPr>
      <w:r>
        <w:t xml:space="preserve">The target trial framework: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Makes implicit choices explicit</w:t>
      </w:r>
      <w:r>
        <w:t xml:space="preserve">: Eligibility, time zero, and strategies</w:t>
      </w:r>
      <w:r>
        <w:t xml:space="preserve"> </w:t>
      </w:r>
      <w:r>
        <w:t xml:space="preserve">that are often decided ad hoc in practice must be pre-specified.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Connects to a clearly defined estimand</w:t>
      </w:r>
      <w:r>
        <w:t xml:space="preserve">: The causal question is framed</w:t>
      </w:r>
      <w:r>
        <w:t xml:space="preserve"> </w:t>
      </w:r>
      <w:r>
        <w:t xml:space="preserve">as a comparison between specific strategies in a specific population,</w:t>
      </w:r>
      <w:r>
        <w:t xml:space="preserve"> </w:t>
      </w:r>
      <w:r>
        <w:t xml:space="preserve">leaving no ambiguity about what is being estimated.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Organizes the analytic steps</w:t>
      </w:r>
      <w:r>
        <w:t xml:space="preserve">: Once the trial is specified,</w:t>
      </w:r>
      <w:r>
        <w:t xml:space="preserve"> </w:t>
      </w:r>
      <w:r>
        <w:t xml:space="preserve">it is clear what confounders must be measured, what models must be fit,</w:t>
      </w:r>
      <w:r>
        <w:t xml:space="preserve"> </w:t>
      </w:r>
      <w:r>
        <w:t xml:space="preserve">and what biases must be mitigated.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Facilitates replication and critique</w:t>
      </w:r>
      <w:r>
        <w:t xml:space="preserve">: Other researchers can evaluate</w:t>
      </w:r>
      <w:r>
        <w:t xml:space="preserve"> </w:t>
      </w:r>
      <w:r>
        <w:t xml:space="preserve">whether the emulation is faithful to the target trial</w:t>
      </w:r>
      <w:r>
        <w:t xml:space="preserve"> </w:t>
      </w:r>
      <w:r>
        <w:t xml:space="preserve">and whether the assumptions are plausible.</w:t>
      </w:r>
    </w:p>
    <w:p>
      <w:pPr>
        <w:pStyle w:val="FirstParagraph"/>
      </w:pPr>
      <w:r>
        <w:rPr>
          <w:b/>
          <w:bCs/>
        </w:rPr>
        <w:t xml:space="preserve">When observational emulation is insufficient</w:t>
      </w:r>
      <w:r>
        <w:t xml:space="preserve">:</w:t>
      </w:r>
    </w:p>
    <w:p>
      <w:pPr>
        <w:pStyle w:val="BodyText"/>
      </w:pPr>
      <w:r>
        <w:t xml:space="preserve">Not every causal question can be answered by emulating a target trial</w:t>
      </w:r>
      <w:r>
        <w:t xml:space="preserve"> </w:t>
      </w:r>
      <w:r>
        <w:t xml:space="preserve">with available observational data.</w:t>
      </w:r>
      <w:r>
        <w:t xml:space="preserve"> </w:t>
      </w:r>
      <w:r>
        <w:t xml:space="preserve">The emulation may fail if:</w:t>
      </w:r>
    </w:p>
    <w:p>
      <w:pPr>
        <w:pStyle w:val="Compact"/>
        <w:numPr>
          <w:ilvl w:val="0"/>
          <w:numId w:val="1007"/>
        </w:numPr>
      </w:pPr>
      <w:r>
        <w:t xml:space="preserve">Key eligibility criteria require data not available in the database.</w:t>
      </w:r>
    </w:p>
    <w:p>
      <w:pPr>
        <w:pStyle w:val="Compact"/>
        <w:numPr>
          <w:ilvl w:val="0"/>
          <w:numId w:val="1007"/>
        </w:numPr>
      </w:pPr>
      <w:r>
        <w:t xml:space="preserve">The treatment strategies of interest were never observed</w:t>
      </w:r>
      <w:r>
        <w:t xml:space="preserve"> </w:t>
      </w:r>
      <w:r>
        <w:t xml:space="preserve">(positivity violations).</w:t>
      </w:r>
    </w:p>
    <w:p>
      <w:pPr>
        <w:pStyle w:val="Compact"/>
        <w:numPr>
          <w:ilvl w:val="0"/>
          <w:numId w:val="1007"/>
        </w:numPr>
      </w:pPr>
      <w:r>
        <w:t xml:space="preserve">Unmeasured confounders are strong enough that sequential exchangeability is implausible.</w:t>
      </w:r>
    </w:p>
    <w:p>
      <w:pPr>
        <w:pStyle w:val="Compact"/>
        <w:numPr>
          <w:ilvl w:val="0"/>
          <w:numId w:val="1007"/>
        </w:numPr>
      </w:pPr>
      <w:r>
        <w:t xml:space="preserve">The outcome is too rare or too poorly measured in the database.</w:t>
      </w:r>
    </w:p>
    <w:p>
      <w:pPr>
        <w:pStyle w:val="FirstParagraph"/>
      </w:pPr>
      <w:r>
        <w:t xml:space="preserve">In these cases, the target trial framework helps clarify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the emulation is limited</w:t>
      </w:r>
      <w:r>
        <w:t xml:space="preserve"> </w:t>
      </w:r>
      <w:r>
        <w:t xml:space="preserve">and what additional data or study design changes would be needed.</w:t>
      </w:r>
      <w:r>
        <w:t xml:space="preserve"> </w:t>
      </w:r>
      <w:r>
        <w:t xml:space="preserve">This is itself valuable — it prevents researchers from publishing</w:t>
      </w:r>
      <w:r>
        <w:t xml:space="preserve"> </w:t>
      </w:r>
      <w:r>
        <w:t xml:space="preserve">biased estimates while presenting them as valid.</w:t>
      </w:r>
    </w:p>
    <w:p>
      <w:pPr>
        <w:pStyle w:val="BodyText"/>
      </w:pPr>
      <w:r>
        <w:rPr>
          <w:b/>
          <w:bCs/>
        </w:rPr>
        <w:t xml:space="preserve">Further reading</w:t>
      </w:r>
      <w:r>
        <w:t xml:space="preserve">: The target trial emulation framework was developed by Hernán and Robins.</w:t>
      </w:r>
      <w:r>
        <w:t xml:space="preserve"> </w:t>
      </w:r>
      <w:r>
        <w:t xml:space="preserve">Key papers include Hernán &amp; Robins (2016),</w:t>
      </w:r>
      <w:r>
        <w:t xml:space="preserve"> </w:t>
      </w:r>
      <w:r>
        <w:t xml:space="preserve">“Using Big Data to Emulate a Target Trial”</w:t>
      </w:r>
      <w:r>
        <w:t xml:space="preserve"> </w:t>
      </w:r>
      <w:r>
        <w:t xml:space="preserve">in the</w:t>
      </w:r>
      <w:r>
        <w:t xml:space="preserve"> </w:t>
      </w:r>
      <w:r>
        <w:rPr>
          <w:i/>
          <w:iCs/>
        </w:rPr>
        <w:t xml:space="preserve">American Journal of Epidemiology</w:t>
      </w:r>
      <w:r>
        <w:t xml:space="preserve">,</w:t>
      </w:r>
      <w:r>
        <w:t xml:space="preserve"> </w:t>
      </w:r>
      <w:r>
        <w:t xml:space="preserve">and the series of application papers in pharmacoepidemiology that followed.</w:t>
      </w:r>
    </w:p>
    <w:bookmarkEnd w:id="26"/>
    <w:bookmarkEnd w:id="27"/>
    <w:bookmarkStart w:id="28" w:name="summary"/>
    <w:p>
      <w:pPr>
        <w:pStyle w:val="Heading2"/>
      </w:pPr>
      <w:r>
        <w:t xml:space="preserve">6 Summary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intention-to-treat (ITT) effect</w:t>
      </w:r>
      <w:r>
        <w:t xml:space="preserve"> </w:t>
      </w:r>
      <w:r>
        <w:t xml:space="preserve">compares outcomes by assigned strategy;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per-protocol (PP) effect</w:t>
      </w:r>
      <w:r>
        <w:t xml:space="preserve"> </w:t>
      </w:r>
      <w:r>
        <w:t xml:space="preserve">compares outcomes by strategy actually adhered to.</w:t>
      </w:r>
    </w:p>
    <w:p>
      <w:pPr>
        <w:pStyle w:val="Compact"/>
        <w:numPr>
          <w:ilvl w:val="0"/>
          <w:numId w:val="1008"/>
        </w:numPr>
      </w:pPr>
      <w:r>
        <w:t xml:space="preserve">In observational data, the PP analysis requires time-varying IP weighting</w:t>
      </w:r>
      <w:r>
        <w:t xml:space="preserve"> </w:t>
      </w:r>
      <w:r>
        <w:t xml:space="preserve">to handle confounding of adherence decisions.</w: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target trial</w:t>
      </w:r>
      <w:r>
        <w:t xml:space="preserve"> </w:t>
      </w:r>
      <w:r>
        <w:t xml:space="preserve">is the explicit specification of the randomized experiment</w:t>
      </w:r>
      <w:r>
        <w:t xml:space="preserve"> </w:t>
      </w:r>
      <w:r>
        <w:t xml:space="preserve">that the observational analysis attempts to emulate.</w:t>
      </w:r>
      <w:r>
        <w:t xml:space="preserve"> </w:t>
      </w:r>
      <w:r>
        <w:t xml:space="preserve">It includes eligibility criteria, treatment strategies, time zero, outcomes, and analysis plan.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Time zero</w:t>
      </w:r>
      <w:r>
        <w:t xml:space="preserve"> </w:t>
      </w:r>
      <w:r>
        <w:t xml:space="preserve">must simultaneously mark eligibility, strategy assignment, and follow-up start.</w:t>
      </w:r>
      <w:r>
        <w:t xml:space="preserve"> </w:t>
      </w:r>
      <w:r>
        <w:t xml:space="preserve">Misalignment of these leads to</w:t>
      </w:r>
      <w:r>
        <w:t xml:space="preserve"> </w:t>
      </w:r>
      <w:r>
        <w:rPr>
          <w:b/>
          <w:bCs/>
        </w:rPr>
        <w:t xml:space="preserve">immortal time bias</w:t>
      </w:r>
      <w:r>
        <w:t xml:space="preserve">,</w:t>
      </w:r>
      <w:r>
        <w:t xml:space="preserve"> </w:t>
      </w:r>
      <w:r>
        <w:rPr>
          <w:b/>
          <w:bCs/>
        </w:rPr>
        <w:t xml:space="preserve">prevalent user bias</w:t>
      </w:r>
      <w:r>
        <w:t xml:space="preserve">,</w:t>
      </w:r>
      <w:r>
        <w:t xml:space="preserve"> </w:t>
      </w:r>
      <w:r>
        <w:t xml:space="preserve">and other systematic errors.</w: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sequential trials</w:t>
      </w:r>
      <w:r>
        <w:t xml:space="preserve"> </w:t>
      </w:r>
      <w:r>
        <w:t xml:space="preserve">design eliminates immortal time bias</w:t>
      </w:r>
      <w:r>
        <w:t xml:space="preserve"> </w:t>
      </w:r>
      <w:r>
        <w:t xml:space="preserve">by defining a new</w:t>
      </w:r>
      <w:r>
        <w:t xml:space="preserve"> </w:t>
      </w:r>
      <w:r>
        <w:t xml:space="preserve">“trial”</w:t>
      </w:r>
      <w:r>
        <w:t xml:space="preserve"> </w:t>
      </w:r>
      <w:r>
        <w:t xml:space="preserve">at each calendar time an individual becomes eligible.</w: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new user design</w:t>
      </w:r>
      <w:r>
        <w:t xml:space="preserve"> </w:t>
      </w:r>
      <w:r>
        <w:t xml:space="preserve">eliminates prevalent user bias</w:t>
      </w:r>
      <w:r>
        <w:t xml:space="preserve"> </w:t>
      </w:r>
      <w:r>
        <w:t xml:space="preserve">by restricting to individuals who recently initiated treatment.</w:t>
      </w:r>
    </w:p>
    <w:p>
      <w:pPr>
        <w:pStyle w:val="Compact"/>
        <w:numPr>
          <w:ilvl w:val="0"/>
          <w:numId w:val="1008"/>
        </w:numPr>
      </w:pPr>
      <w:r>
        <w:t xml:space="preserve">The target trial framework</w:t>
      </w:r>
      <w:r>
        <w:t xml:space="preserve"> </w:t>
      </w:r>
      <w:r>
        <w:rPr>
          <w:b/>
          <w:bCs/>
        </w:rPr>
        <w:t xml:space="preserve">unifies</w:t>
      </w:r>
      <w:r>
        <w:t xml:space="preserve"> </w:t>
      </w:r>
      <w:r>
        <w:t xml:space="preserve">observational causal inference:</w:t>
      </w:r>
      <w:r>
        <w:t xml:space="preserve"> </w:t>
      </w:r>
      <w:r>
        <w:t xml:space="preserve">specify the trial first, then choose the g-method for estimation.</w:t>
      </w:r>
    </w:p>
    <w:bookmarkEnd w:id="28"/>
    <w:bookmarkStart w:id="32" w:name="references"/>
    <w:p>
      <w:pPr>
        <w:pStyle w:val="Heading2"/>
      </w:pPr>
      <w:r>
        <w:t xml:space="preserve">7 References</w:t>
      </w:r>
    </w:p>
    <w:p>
      <w:r>
        <w:pict>
          <v:rect style="width:0;height:1.5pt" o:hralign="center" o:hrstd="t" o:hr="t"/>
        </w:pict>
      </w:r>
    </w:p>
    <w:bookmarkStart w:id="31" w:name="refs"/>
    <w:bookmarkStart w:id="30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29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9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22: Target Trial Emulation</dc:title>
  <dc:creator/>
  <cp:keywords/>
  <dcterms:created xsi:type="dcterms:W3CDTF">2026-05-04T08:36:33Z</dcterms:created>
  <dcterms:modified xsi:type="dcterms:W3CDTF">2026-05-04T08:36:33Z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preview-changed">
    <vt:lpwstr>True</vt:lpwstr>
  </property>
  <property fmtid="{D5CDD505-2E9C-101B-9397-08002B2CF9AE}" pid="16" name="toc-title">
    <vt:lpwstr>Table of contents</vt:lpwstr>
  </property>
</Properties>
</file>